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431" w:rsidRPr="00283431" w:rsidRDefault="00283431" w:rsidP="00283431">
      <w:pPr>
        <w:spacing w:before="100" w:beforeAutospacing="1" w:after="100" w:afterAutospacing="1" w:line="240" w:lineRule="auto"/>
        <w:jc w:val="center"/>
        <w:outlineLvl w:val="0"/>
        <w:rPr>
          <w:rFonts w:ascii="Times New Roman" w:eastAsia="Times New Roman" w:hAnsi="Times New Roman" w:cs="Times New Roman"/>
          <w:b/>
          <w:bCs/>
          <w:kern w:val="36"/>
          <w:lang w:eastAsia="tr-TR"/>
        </w:rPr>
      </w:pPr>
      <w:r w:rsidRPr="00283431">
        <w:rPr>
          <w:rFonts w:ascii="Times New Roman" w:eastAsia="Times New Roman" w:hAnsi="Times New Roman" w:cs="Times New Roman"/>
          <w:b/>
          <w:bCs/>
          <w:kern w:val="36"/>
          <w:lang w:eastAsia="tr-TR"/>
        </w:rPr>
        <w:t>T.C. ÇUKUROVA ÜNİVERSİTESİ</w:t>
      </w:r>
    </w:p>
    <w:p w:rsidR="00283431" w:rsidRPr="00283431" w:rsidRDefault="00283431" w:rsidP="00283431">
      <w:pPr>
        <w:spacing w:before="100" w:beforeAutospacing="1" w:after="100" w:afterAutospacing="1" w:line="240" w:lineRule="auto"/>
        <w:jc w:val="center"/>
        <w:outlineLvl w:val="1"/>
        <w:rPr>
          <w:rFonts w:ascii="Times New Roman" w:eastAsia="Times New Roman" w:hAnsi="Times New Roman" w:cs="Times New Roman"/>
          <w:b/>
          <w:bCs/>
          <w:lang w:eastAsia="tr-TR"/>
        </w:rPr>
      </w:pPr>
      <w:r w:rsidRPr="00283431">
        <w:rPr>
          <w:rFonts w:ascii="Times New Roman" w:eastAsia="Times New Roman" w:hAnsi="Times New Roman" w:cs="Times New Roman"/>
          <w:b/>
          <w:bCs/>
          <w:lang w:eastAsia="tr-TR"/>
        </w:rPr>
        <w:t>İLETİŞİM FAKÜLTESİ</w:t>
      </w:r>
    </w:p>
    <w:p w:rsidR="00283431" w:rsidRPr="00283431" w:rsidRDefault="00283431" w:rsidP="00283431">
      <w:pPr>
        <w:spacing w:before="100" w:beforeAutospacing="1" w:after="100" w:afterAutospacing="1" w:line="240" w:lineRule="auto"/>
        <w:jc w:val="center"/>
        <w:outlineLvl w:val="0"/>
        <w:rPr>
          <w:rFonts w:ascii="Times New Roman" w:eastAsia="Times New Roman" w:hAnsi="Times New Roman" w:cs="Times New Roman"/>
          <w:b/>
          <w:bCs/>
          <w:kern w:val="36"/>
          <w:lang w:eastAsia="tr-TR"/>
        </w:rPr>
      </w:pPr>
      <w:r w:rsidRPr="00283431">
        <w:rPr>
          <w:rFonts w:ascii="Times New Roman" w:eastAsia="Times New Roman" w:hAnsi="Times New Roman" w:cs="Times New Roman"/>
          <w:b/>
          <w:bCs/>
          <w:kern w:val="36"/>
          <w:lang w:eastAsia="tr-TR"/>
        </w:rPr>
        <w:t>BİRİM İÇ KONTROL UYUM EYLEM PLANI</w:t>
      </w:r>
    </w:p>
    <w:p w:rsidR="00283431" w:rsidRPr="00283431" w:rsidRDefault="00283431" w:rsidP="0028343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tr-TR"/>
        </w:rPr>
      </w:pPr>
      <w:r w:rsidRPr="00283431">
        <w:rPr>
          <w:rFonts w:ascii="Times New Roman" w:eastAsia="Times New Roman" w:hAnsi="Times New Roman" w:cs="Times New Roman"/>
          <w:b/>
          <w:bCs/>
          <w:sz w:val="27"/>
          <w:szCs w:val="27"/>
          <w:lang w:eastAsia="tr-TR"/>
        </w:rPr>
        <w:t>(2026-2027)</w:t>
      </w:r>
    </w:p>
    <w:p w:rsidR="00283431" w:rsidRPr="00283431" w:rsidRDefault="00283431" w:rsidP="00283431">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r w:rsidRPr="00283431">
        <w:rPr>
          <w:rFonts w:ascii="Times New Roman" w:eastAsia="Times New Roman" w:hAnsi="Times New Roman" w:cs="Times New Roman"/>
          <w:b/>
          <w:bCs/>
          <w:sz w:val="36"/>
          <w:szCs w:val="36"/>
          <w:lang w:eastAsia="tr-TR"/>
        </w:rPr>
        <w:t>1. Amaç</w:t>
      </w:r>
    </w:p>
    <w:p w:rsidR="00283431" w:rsidRPr="00283431" w:rsidRDefault="00283431" w:rsidP="00283431">
      <w:pPr>
        <w:spacing w:before="100" w:beforeAutospacing="1" w:after="100" w:afterAutospacing="1" w:line="240" w:lineRule="auto"/>
        <w:jc w:val="both"/>
        <w:rPr>
          <w:rFonts w:ascii="Times New Roman" w:eastAsia="Times New Roman" w:hAnsi="Times New Roman" w:cs="Times New Roman"/>
          <w:sz w:val="24"/>
          <w:szCs w:val="24"/>
          <w:lang w:eastAsia="tr-TR"/>
        </w:rPr>
      </w:pPr>
      <w:proofErr w:type="gramStart"/>
      <w:r w:rsidRPr="00283431">
        <w:rPr>
          <w:rFonts w:ascii="Times New Roman" w:eastAsia="Times New Roman" w:hAnsi="Times New Roman" w:cs="Times New Roman"/>
          <w:sz w:val="24"/>
          <w:szCs w:val="24"/>
          <w:lang w:eastAsia="tr-TR"/>
        </w:rPr>
        <w:t>Bu Birim İç Kontrol Uyum Eylem Planının amacı; 5018 sayılı Kamu Mali Yönetimi ve Kontrol Kanunu ile Kamu İç Kontrol Standartları Tebliği doğrultusunda, Çukurova Üniversitesi İletişim Fakültesinde etkili, ekonomik ve verimli bir yönetim anlayışının geliştirilmesi, hesap verebilirlik ve şeffaflığın güçlendirilmesi, risk odaklı yönetim anlayışının yaygınlaştırılması ve kurumsal faaliyetlerin sürekli iyileştirilmesini sağlamaktır.</w:t>
      </w:r>
      <w:proofErr w:type="gramEnd"/>
    </w:p>
    <w:p w:rsidR="00283431" w:rsidRPr="00283431" w:rsidRDefault="00283431" w:rsidP="00283431">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r w:rsidRPr="00283431">
        <w:rPr>
          <w:rFonts w:ascii="Times New Roman" w:eastAsia="Times New Roman" w:hAnsi="Times New Roman" w:cs="Times New Roman"/>
          <w:b/>
          <w:bCs/>
          <w:sz w:val="36"/>
          <w:szCs w:val="36"/>
          <w:lang w:eastAsia="tr-TR"/>
        </w:rPr>
        <w:t>2. Kapsam</w:t>
      </w:r>
    </w:p>
    <w:p w:rsidR="00283431" w:rsidRPr="00283431" w:rsidRDefault="00283431" w:rsidP="00283431">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Bu plan; Çukurova Üniversitesi İletişim Fakültesinin akademik, idari ve mali tüm faaliyetlerini kapsar. Plan kapsamında yürütülecek çalışmalar; iç kontrol sisteminin geliştirilmesi, risk yönetiminin etkinleştirilmesi, etik kültürünün güçlendirilmesi, süreçlerin standartlaştırılması ve kurumsal performansın artırılmasına yönelik faaliyetlerden oluşmaktadır.</w:t>
      </w:r>
    </w:p>
    <w:p w:rsidR="00283431" w:rsidRPr="00283431" w:rsidRDefault="00283431" w:rsidP="00283431">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r w:rsidRPr="00283431">
        <w:rPr>
          <w:rFonts w:ascii="Times New Roman" w:eastAsia="Times New Roman" w:hAnsi="Times New Roman" w:cs="Times New Roman"/>
          <w:b/>
          <w:bCs/>
          <w:sz w:val="36"/>
          <w:szCs w:val="36"/>
          <w:lang w:eastAsia="tr-TR"/>
        </w:rPr>
        <w:t>3. Dayanak</w:t>
      </w:r>
    </w:p>
    <w:p w:rsidR="00283431" w:rsidRPr="00283431" w:rsidRDefault="00283431" w:rsidP="00283431">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Bu plan aşağıdaki mevzuata dayanılarak hazırlanmıştır:</w:t>
      </w:r>
    </w:p>
    <w:p w:rsidR="00283431" w:rsidRPr="00283431" w:rsidRDefault="00283431" w:rsidP="0028343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5018 sayılı Kamu Mali Yönetimi ve Kontrol Kanunu</w:t>
      </w:r>
    </w:p>
    <w:p w:rsidR="00283431" w:rsidRPr="00283431" w:rsidRDefault="00283431" w:rsidP="0028343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Kamu İç Kontrol Standartları Tebliği</w:t>
      </w:r>
    </w:p>
    <w:p w:rsidR="00283431" w:rsidRPr="00283431" w:rsidRDefault="00283431" w:rsidP="0028343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Kamu İç Kontrol Rehberi</w:t>
      </w:r>
    </w:p>
    <w:p w:rsidR="00283431" w:rsidRPr="00283431" w:rsidRDefault="00283431" w:rsidP="0028343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Çukurova Üniversitesi Stratejik Planı</w:t>
      </w:r>
    </w:p>
    <w:p w:rsidR="00283431" w:rsidRPr="00283431" w:rsidRDefault="00283431" w:rsidP="0028343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Çukurova Üniversitesi İç Kontrol Uyum Eylem Planı</w:t>
      </w:r>
    </w:p>
    <w:p w:rsidR="00283431" w:rsidRPr="00283431" w:rsidRDefault="00283431" w:rsidP="0028343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İlgili diğer mevzuat hükümleri</w:t>
      </w:r>
    </w:p>
    <w:p w:rsidR="00283431" w:rsidRPr="00283431" w:rsidRDefault="00283431" w:rsidP="00283431">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rPr>
      </w:pPr>
      <w:r w:rsidRPr="00283431">
        <w:rPr>
          <w:rFonts w:ascii="Times New Roman" w:eastAsia="Times New Roman" w:hAnsi="Times New Roman" w:cs="Times New Roman"/>
          <w:b/>
          <w:bCs/>
          <w:kern w:val="36"/>
          <w:sz w:val="48"/>
          <w:szCs w:val="48"/>
          <w:lang w:eastAsia="tr-TR"/>
        </w:rPr>
        <w:t>4. Birim İç Kontrol Uyum Eylemleri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9"/>
        <w:gridCol w:w="3950"/>
        <w:gridCol w:w="1782"/>
        <w:gridCol w:w="1058"/>
        <w:gridCol w:w="1883"/>
      </w:tblGrid>
      <w:tr w:rsidR="00283431" w:rsidRPr="00283431" w:rsidTr="00283431">
        <w:trPr>
          <w:tblHeader/>
          <w:tblCellSpacing w:w="15" w:type="dxa"/>
        </w:trPr>
        <w:tc>
          <w:tcPr>
            <w:tcW w:w="0" w:type="auto"/>
            <w:vAlign w:val="center"/>
            <w:hideMark/>
          </w:tcPr>
          <w:p w:rsidR="00283431" w:rsidRPr="00283431" w:rsidRDefault="00283431" w:rsidP="00283431">
            <w:pPr>
              <w:spacing w:after="0" w:line="240" w:lineRule="auto"/>
              <w:jc w:val="center"/>
              <w:rPr>
                <w:rFonts w:ascii="Times New Roman" w:eastAsia="Times New Roman" w:hAnsi="Times New Roman" w:cs="Times New Roman"/>
                <w:b/>
                <w:bCs/>
                <w:sz w:val="24"/>
                <w:szCs w:val="24"/>
                <w:lang w:eastAsia="tr-TR"/>
              </w:rPr>
            </w:pPr>
            <w:r w:rsidRPr="00283431">
              <w:rPr>
                <w:rFonts w:ascii="Times New Roman" w:eastAsia="Times New Roman" w:hAnsi="Times New Roman" w:cs="Times New Roman"/>
                <w:b/>
                <w:bCs/>
                <w:sz w:val="24"/>
                <w:szCs w:val="24"/>
                <w:lang w:eastAsia="tr-TR"/>
              </w:rPr>
              <w:t>No</w:t>
            </w:r>
          </w:p>
        </w:tc>
        <w:tc>
          <w:tcPr>
            <w:tcW w:w="0" w:type="auto"/>
            <w:vAlign w:val="center"/>
            <w:hideMark/>
          </w:tcPr>
          <w:p w:rsidR="00283431" w:rsidRPr="00283431" w:rsidRDefault="00283431" w:rsidP="00283431">
            <w:pPr>
              <w:spacing w:after="0" w:line="240" w:lineRule="auto"/>
              <w:jc w:val="center"/>
              <w:rPr>
                <w:rFonts w:ascii="Times New Roman" w:eastAsia="Times New Roman" w:hAnsi="Times New Roman" w:cs="Times New Roman"/>
                <w:b/>
                <w:bCs/>
                <w:sz w:val="24"/>
                <w:szCs w:val="24"/>
                <w:lang w:eastAsia="tr-TR"/>
              </w:rPr>
            </w:pPr>
            <w:r w:rsidRPr="00283431">
              <w:rPr>
                <w:rFonts w:ascii="Times New Roman" w:eastAsia="Times New Roman" w:hAnsi="Times New Roman" w:cs="Times New Roman"/>
                <w:b/>
                <w:bCs/>
                <w:sz w:val="24"/>
                <w:szCs w:val="24"/>
                <w:lang w:eastAsia="tr-TR"/>
              </w:rPr>
              <w:t>Eylem</w:t>
            </w:r>
          </w:p>
        </w:tc>
        <w:tc>
          <w:tcPr>
            <w:tcW w:w="0" w:type="auto"/>
            <w:vAlign w:val="center"/>
            <w:hideMark/>
          </w:tcPr>
          <w:p w:rsidR="00283431" w:rsidRPr="00283431" w:rsidRDefault="00283431" w:rsidP="00283431">
            <w:pPr>
              <w:spacing w:after="0" w:line="240" w:lineRule="auto"/>
              <w:jc w:val="center"/>
              <w:rPr>
                <w:rFonts w:ascii="Times New Roman" w:eastAsia="Times New Roman" w:hAnsi="Times New Roman" w:cs="Times New Roman"/>
                <w:b/>
                <w:bCs/>
                <w:sz w:val="24"/>
                <w:szCs w:val="24"/>
                <w:lang w:eastAsia="tr-TR"/>
              </w:rPr>
            </w:pPr>
            <w:r w:rsidRPr="00283431">
              <w:rPr>
                <w:rFonts w:ascii="Times New Roman" w:eastAsia="Times New Roman" w:hAnsi="Times New Roman" w:cs="Times New Roman"/>
                <w:b/>
                <w:bCs/>
                <w:sz w:val="24"/>
                <w:szCs w:val="24"/>
                <w:lang w:eastAsia="tr-TR"/>
              </w:rPr>
              <w:t>Sorumlu</w:t>
            </w:r>
          </w:p>
        </w:tc>
        <w:tc>
          <w:tcPr>
            <w:tcW w:w="0" w:type="auto"/>
            <w:vAlign w:val="center"/>
            <w:hideMark/>
          </w:tcPr>
          <w:p w:rsidR="00283431" w:rsidRPr="00283431" w:rsidRDefault="00283431" w:rsidP="00283431">
            <w:pPr>
              <w:spacing w:after="0" w:line="240" w:lineRule="auto"/>
              <w:jc w:val="center"/>
              <w:rPr>
                <w:rFonts w:ascii="Times New Roman" w:eastAsia="Times New Roman" w:hAnsi="Times New Roman" w:cs="Times New Roman"/>
                <w:b/>
                <w:bCs/>
                <w:sz w:val="24"/>
                <w:szCs w:val="24"/>
                <w:lang w:eastAsia="tr-TR"/>
              </w:rPr>
            </w:pPr>
            <w:r w:rsidRPr="00283431">
              <w:rPr>
                <w:rFonts w:ascii="Times New Roman" w:eastAsia="Times New Roman" w:hAnsi="Times New Roman" w:cs="Times New Roman"/>
                <w:b/>
                <w:bCs/>
                <w:sz w:val="24"/>
                <w:szCs w:val="24"/>
                <w:lang w:eastAsia="tr-TR"/>
              </w:rPr>
              <w:t>Süre</w:t>
            </w:r>
          </w:p>
        </w:tc>
        <w:tc>
          <w:tcPr>
            <w:tcW w:w="0" w:type="auto"/>
            <w:vAlign w:val="center"/>
            <w:hideMark/>
          </w:tcPr>
          <w:p w:rsidR="00283431" w:rsidRPr="00283431" w:rsidRDefault="00283431" w:rsidP="00283431">
            <w:pPr>
              <w:spacing w:after="0" w:line="240" w:lineRule="auto"/>
              <w:jc w:val="center"/>
              <w:rPr>
                <w:rFonts w:ascii="Times New Roman" w:eastAsia="Times New Roman" w:hAnsi="Times New Roman" w:cs="Times New Roman"/>
                <w:b/>
                <w:bCs/>
                <w:sz w:val="24"/>
                <w:szCs w:val="24"/>
                <w:lang w:eastAsia="tr-TR"/>
              </w:rPr>
            </w:pPr>
            <w:r w:rsidRPr="00283431">
              <w:rPr>
                <w:rFonts w:ascii="Times New Roman" w:eastAsia="Times New Roman" w:hAnsi="Times New Roman" w:cs="Times New Roman"/>
                <w:b/>
                <w:bCs/>
                <w:sz w:val="24"/>
                <w:szCs w:val="24"/>
                <w:lang w:eastAsia="tr-TR"/>
              </w:rPr>
              <w:t>Performans Göstergesi</w:t>
            </w:r>
          </w:p>
        </w:tc>
      </w:tr>
      <w:tr w:rsidR="00283431" w:rsidRPr="00283431" w:rsidTr="00283431">
        <w:trPr>
          <w:tblCellSpacing w:w="15" w:type="dxa"/>
        </w:trPr>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1</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Fakülte personeline yönelik etik kurallar hakkında yılda en az bir bilgilendirme faaliyeti düzenlenmesi.</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Dekanlık</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Yılda bir</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Katılım listesi ve etkinlik tutanağı</w:t>
            </w:r>
          </w:p>
        </w:tc>
      </w:tr>
      <w:tr w:rsidR="00283431" w:rsidRPr="00283431" w:rsidTr="00283431">
        <w:trPr>
          <w:tblCellSpacing w:w="15" w:type="dxa"/>
        </w:trPr>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2</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"Kamu Görevlileri Etik Davranış İlkeleri" broşürünün fakülte duyuru panolarında ve web sayfasında yayımlanmasının sağlanması.</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Fakülte Sekreterliği</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Sürekli</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Broşürün görünürlüğü</w:t>
            </w:r>
          </w:p>
        </w:tc>
      </w:tr>
      <w:tr w:rsidR="00283431" w:rsidRPr="00283431" w:rsidTr="00283431">
        <w:trPr>
          <w:tblCellSpacing w:w="15" w:type="dxa"/>
        </w:trPr>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lastRenderedPageBreak/>
              <w:t>3</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Organizasyon şeması ve görev dağılımlarının yılda bir kez gözden geçirilerek güncellenmesi.</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Dekanlık</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Yılda bir</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Güncel organizasyon şeması</w:t>
            </w:r>
          </w:p>
        </w:tc>
      </w:tr>
      <w:tr w:rsidR="00283431" w:rsidRPr="00283431" w:rsidTr="00283431">
        <w:trPr>
          <w:tblCellSpacing w:w="15" w:type="dxa"/>
        </w:trPr>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4</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Akademik ve idari personelin görev tanımlarının güncel tutulması.</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Dekanlık</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Sürekli</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Güncel görev tanımları</w:t>
            </w:r>
          </w:p>
        </w:tc>
      </w:tr>
      <w:tr w:rsidR="00283431" w:rsidRPr="00283431" w:rsidTr="00283431">
        <w:trPr>
          <w:tblCellSpacing w:w="15" w:type="dxa"/>
        </w:trPr>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5</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Fakültenin yıllık faaliyet planının hazırlanması ve gerçekleşmelerinin altı aylık dönemlerde değerlendirilmesi.</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Dekanlık</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Haziran-Aralık</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Değerlendirme raporu</w:t>
            </w:r>
          </w:p>
        </w:tc>
      </w:tr>
      <w:tr w:rsidR="00283431" w:rsidRPr="00283431" w:rsidTr="00283431">
        <w:trPr>
          <w:tblCellSpacing w:w="15" w:type="dxa"/>
        </w:trPr>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6</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Birim Risk Eylem Planının yılda bir kez güncellenmesi.</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Risk Koordinatörü</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Mart</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Güncel risk planı</w:t>
            </w:r>
          </w:p>
        </w:tc>
      </w:tr>
      <w:tr w:rsidR="00283431" w:rsidRPr="00283431" w:rsidTr="00283431">
        <w:trPr>
          <w:tblCellSpacing w:w="15" w:type="dxa"/>
        </w:trPr>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7</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İş akış süreçlerinin gözden geçirilmesi ve ihtiyaç halinde güncellenmesi.</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Fakülte Sekreterliği</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Yılda bir</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Güncel iş akış şemaları</w:t>
            </w:r>
          </w:p>
        </w:tc>
      </w:tr>
      <w:tr w:rsidR="00283431" w:rsidRPr="00283431" w:rsidTr="00283431">
        <w:trPr>
          <w:tblCellSpacing w:w="15" w:type="dxa"/>
        </w:trPr>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8</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Elektronik Belge Yönetim Sistemi (EBYS) kullanımının düzenli olarak izlenmesi ve belge yönetiminin eksiksiz yürütülmesi.</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Fakülte Sekreterliği</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Sürekli</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EBYS kayıtları</w:t>
            </w:r>
          </w:p>
        </w:tc>
      </w:tr>
      <w:tr w:rsidR="00283431" w:rsidRPr="00283431" w:rsidTr="00283431">
        <w:trPr>
          <w:tblCellSpacing w:w="15" w:type="dxa"/>
        </w:trPr>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9</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Fakülte internet sayfasının güncel tutulması ve duyuruların zamanında yayımlanması.</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Dekanlık / Web Sorumlusu</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Sürekli</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Güncel web sayfası</w:t>
            </w:r>
          </w:p>
        </w:tc>
      </w:tr>
      <w:tr w:rsidR="00283431" w:rsidRPr="00283431" w:rsidTr="00283431">
        <w:trPr>
          <w:tblCellSpacing w:w="15" w:type="dxa"/>
        </w:trPr>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10</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Fakülte faaliyetlerinin kurumsal sosyal medya hesapları aracılığıyla kamuoyuyla paylaşılması.</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Basın ve Halkla İlişkiler Sorumlusu</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Sürekli</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Yapılan paylaşımlar</w:t>
            </w:r>
          </w:p>
        </w:tc>
      </w:tr>
      <w:tr w:rsidR="00283431" w:rsidRPr="00283431" w:rsidTr="00283431">
        <w:trPr>
          <w:tblCellSpacing w:w="15" w:type="dxa"/>
        </w:trPr>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11</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Akademik Kurul ve Fakülte Kurulu kararlarının zamanında uygulanmasının izlenmesi.</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Dekanlık</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Sürekli</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Kurul kararları</w:t>
            </w:r>
          </w:p>
        </w:tc>
      </w:tr>
      <w:tr w:rsidR="00283431" w:rsidRPr="00283431" w:rsidTr="00283431">
        <w:trPr>
          <w:tblCellSpacing w:w="15" w:type="dxa"/>
        </w:trPr>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12</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Vekâlet ve görev devri işlemlerinin güncel tutulması.</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Dekanlık</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Sürekli</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Vekâlet onayları</w:t>
            </w:r>
          </w:p>
        </w:tc>
      </w:tr>
      <w:tr w:rsidR="00283431" w:rsidRPr="00283431" w:rsidTr="00283431">
        <w:trPr>
          <w:tblCellSpacing w:w="15" w:type="dxa"/>
        </w:trPr>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13</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Taşınır kayıtlarının düzenli olarak kontrol edilmesi.</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Taşınır Kayıt Yetkilisi</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Altı ayda bir</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Sayım tutanakları</w:t>
            </w:r>
          </w:p>
        </w:tc>
      </w:tr>
      <w:tr w:rsidR="00283431" w:rsidRPr="00283431" w:rsidTr="00283431">
        <w:trPr>
          <w:tblCellSpacing w:w="15" w:type="dxa"/>
        </w:trPr>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14</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Personelin hizmet içi eğitim programlarına katılımının teşvik edilmesi.</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Dekanlık</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Sürekli</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Eğitim katılım belgeleri</w:t>
            </w:r>
          </w:p>
        </w:tc>
      </w:tr>
      <w:tr w:rsidR="00283431" w:rsidRPr="00283431" w:rsidTr="00283431">
        <w:trPr>
          <w:tblCellSpacing w:w="15" w:type="dxa"/>
        </w:trPr>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15</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Yıllık Birim Faaliyet Raporunun zamanında hazırlanması.</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Dekanlık</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Ocak</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Faaliyet raporu</w:t>
            </w:r>
          </w:p>
        </w:tc>
      </w:tr>
      <w:tr w:rsidR="00283431" w:rsidRPr="00283431" w:rsidTr="00283431">
        <w:trPr>
          <w:tblCellSpacing w:w="15" w:type="dxa"/>
        </w:trPr>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16</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İç denetim ve dış denetim sonucunda tespit edilen hususlara yönelik iyileştirme çalışmalarının gerçekleştirilmesi.</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Dekanlık</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Denetim sonrası</w:t>
            </w:r>
          </w:p>
        </w:tc>
        <w:tc>
          <w:tcPr>
            <w:tcW w:w="0" w:type="auto"/>
            <w:vAlign w:val="center"/>
            <w:hideMark/>
          </w:tcPr>
          <w:p w:rsidR="00283431" w:rsidRPr="00283431" w:rsidRDefault="00283431" w:rsidP="00283431">
            <w:pPr>
              <w:spacing w:after="0"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İyileştirme raporları</w:t>
            </w:r>
          </w:p>
        </w:tc>
      </w:tr>
    </w:tbl>
    <w:p w:rsidR="00283431" w:rsidRPr="00283431" w:rsidRDefault="00283431" w:rsidP="00283431">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rPr>
      </w:pPr>
      <w:r w:rsidRPr="00283431">
        <w:rPr>
          <w:rFonts w:ascii="Times New Roman" w:eastAsia="Times New Roman" w:hAnsi="Times New Roman" w:cs="Times New Roman"/>
          <w:b/>
          <w:bCs/>
          <w:kern w:val="36"/>
          <w:sz w:val="48"/>
          <w:szCs w:val="48"/>
          <w:lang w:eastAsia="tr-TR"/>
        </w:rPr>
        <w:t>5. İzleme ve Değerlendirme</w:t>
      </w:r>
    </w:p>
    <w:p w:rsidR="00283431" w:rsidRPr="00283431" w:rsidRDefault="00283431" w:rsidP="00283431">
      <w:pPr>
        <w:spacing w:before="100" w:beforeAutospacing="1" w:after="100" w:afterAutospacing="1"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 xml:space="preserve">Birim İç Kontrol Uyum Eylem Planı, Dekanlık koordinasyonunda yılda en az bir kez gözden geçirilir. Eylemlerin gerçekleşme durumu ilgili sorumlular tarafından değerlendirilir ve </w:t>
      </w:r>
      <w:r w:rsidRPr="00283431">
        <w:rPr>
          <w:rFonts w:ascii="Times New Roman" w:eastAsia="Times New Roman" w:hAnsi="Times New Roman" w:cs="Times New Roman"/>
          <w:sz w:val="24"/>
          <w:szCs w:val="24"/>
          <w:lang w:eastAsia="tr-TR"/>
        </w:rPr>
        <w:lastRenderedPageBreak/>
        <w:t>ihtiyaç duyulması halinde güncelleme yapılır. İzleme sonuçları Birim Faaliyet Raporu ve risk değerlendirme çalışmaları kapsamında değerlendirilerek üst yönetime sunulur.</w:t>
      </w:r>
    </w:p>
    <w:p w:rsidR="00283431" w:rsidRPr="00283431" w:rsidRDefault="00283431" w:rsidP="00283431">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rPr>
      </w:pPr>
      <w:r w:rsidRPr="00283431">
        <w:rPr>
          <w:rFonts w:ascii="Times New Roman" w:eastAsia="Times New Roman" w:hAnsi="Times New Roman" w:cs="Times New Roman"/>
          <w:b/>
          <w:bCs/>
          <w:kern w:val="36"/>
          <w:sz w:val="48"/>
          <w:szCs w:val="48"/>
          <w:lang w:eastAsia="tr-TR"/>
        </w:rPr>
        <w:t>6. Beklenen Sonuçlar</w:t>
      </w:r>
    </w:p>
    <w:p w:rsidR="00283431" w:rsidRPr="00283431" w:rsidRDefault="00283431" w:rsidP="00283431">
      <w:pPr>
        <w:spacing w:before="100" w:beforeAutospacing="1" w:after="100" w:afterAutospacing="1"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Bu planın uygulanmasıyla;</w:t>
      </w:r>
    </w:p>
    <w:p w:rsidR="00283431" w:rsidRPr="00283431" w:rsidRDefault="00283431" w:rsidP="00283431">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İç kontrol sisteminin etkinliğinin artırılması,</w:t>
      </w:r>
    </w:p>
    <w:p w:rsidR="00283431" w:rsidRPr="00283431" w:rsidRDefault="00283431" w:rsidP="00283431">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Kurumsal risklerin azaltılması,</w:t>
      </w:r>
    </w:p>
    <w:p w:rsidR="00283431" w:rsidRPr="00283431" w:rsidRDefault="00283431" w:rsidP="00283431">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Kaynakların etkili, ekonomik ve verimli kullanılması,</w:t>
      </w:r>
    </w:p>
    <w:p w:rsidR="00283431" w:rsidRPr="00283431" w:rsidRDefault="00283431" w:rsidP="00283431">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İş süreçlerinin standartlaştırılması,</w:t>
      </w:r>
    </w:p>
    <w:p w:rsidR="00283431" w:rsidRPr="00283431" w:rsidRDefault="00283431" w:rsidP="00283431">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Hesap verebilirlik ve şeffaflığın güçlendirilmesi,</w:t>
      </w:r>
    </w:p>
    <w:p w:rsidR="00283431" w:rsidRPr="00283431" w:rsidRDefault="00283431" w:rsidP="00283431">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Kurumsal iletişimin geliştirilmesi,</w:t>
      </w:r>
    </w:p>
    <w:p w:rsidR="00283431" w:rsidRPr="00283431" w:rsidRDefault="00283431" w:rsidP="00283431">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Akademik ve idari hizmet kalitesinin yükseltilmesi,</w:t>
      </w:r>
    </w:p>
    <w:p w:rsidR="00283431" w:rsidRPr="00283431" w:rsidRDefault="00283431" w:rsidP="00283431">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283431">
        <w:rPr>
          <w:rFonts w:ascii="Times New Roman" w:eastAsia="Times New Roman" w:hAnsi="Times New Roman" w:cs="Times New Roman"/>
          <w:sz w:val="24"/>
          <w:szCs w:val="24"/>
          <w:lang w:eastAsia="tr-TR"/>
        </w:rPr>
        <w:t>Sürekli iyileştirme kültürünün yaygınlaştırılması hedeflenmektedir.</w:t>
      </w:r>
    </w:p>
    <w:p w:rsidR="00283431" w:rsidRPr="00283431" w:rsidRDefault="00283431" w:rsidP="00283431">
      <w:pPr>
        <w:spacing w:after="0" w:line="240" w:lineRule="auto"/>
        <w:rPr>
          <w:rFonts w:ascii="Times New Roman" w:eastAsia="Times New Roman" w:hAnsi="Times New Roman" w:cs="Times New Roman"/>
          <w:sz w:val="24"/>
          <w:szCs w:val="24"/>
          <w:lang w:eastAsia="tr-TR"/>
        </w:rPr>
      </w:pPr>
    </w:p>
    <w:p w:rsidR="0034590C" w:rsidRDefault="0034590C">
      <w:bookmarkStart w:id="0" w:name="_GoBack"/>
      <w:bookmarkEnd w:id="0"/>
    </w:p>
    <w:sectPr w:rsidR="003459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E73AD8"/>
    <w:multiLevelType w:val="multilevel"/>
    <w:tmpl w:val="71C04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4162D1"/>
    <w:multiLevelType w:val="multilevel"/>
    <w:tmpl w:val="63263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830"/>
    <w:rsid w:val="00187830"/>
    <w:rsid w:val="00283431"/>
    <w:rsid w:val="003459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E0BBD"/>
  <w15:chartTrackingRefBased/>
  <w15:docId w15:val="{B0322E8B-7C27-4050-B900-D0104FBEC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51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631</Words>
  <Characters>3598</Characters>
  <Application>Microsoft Office Word</Application>
  <DocSecurity>0</DocSecurity>
  <Lines>29</Lines>
  <Paragraphs>8</Paragraphs>
  <ScaleCrop>false</ScaleCrop>
  <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Bilg-Lab</dc:creator>
  <cp:keywords/>
  <dc:description/>
  <cp:lastModifiedBy>Bilg-Lab</cp:lastModifiedBy>
  <cp:revision>2</cp:revision>
  <dcterms:created xsi:type="dcterms:W3CDTF">2026-07-29T10:37:00Z</dcterms:created>
  <dcterms:modified xsi:type="dcterms:W3CDTF">2026-07-29T10:38:00Z</dcterms:modified>
</cp:coreProperties>
</file>