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rPr>
          <w:rFonts w:ascii="Times New Roman" w:cs="Times New Roman" w:eastAsia="Times New Roman" w:hAnsi="Times New Roman"/>
          <w:sz w:val="24"/>
          <w:szCs w:val="24"/>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T.C.</w: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ÇUKUROVA ÜNİVERSİTESİ</w:t>
      </w:r>
    </w:p>
    <w:p w:rsidR="00000000" w:rsidDel="00000000" w:rsidP="00000000" w:rsidRDefault="00000000" w:rsidRPr="00000000" w14:paraId="00000004">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İLETİŞİM FAKÜLTESİ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RADYO, TELEVİZYON VE SİNEMA BÖLÜMÜ </w:t>
      </w:r>
    </w:p>
    <w:p w:rsidR="00000000" w:rsidDel="00000000" w:rsidP="00000000" w:rsidRDefault="00000000" w:rsidRPr="00000000" w14:paraId="00000006">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YÖNERGESİ</w:t>
      </w:r>
    </w:p>
    <w:p w:rsidR="00000000" w:rsidDel="00000000" w:rsidP="00000000" w:rsidRDefault="00000000" w:rsidRPr="00000000" w14:paraId="00000007">
      <w:pPr>
        <w:spacing w:after="1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BİRİNCİ BÖLÜM</w:t>
      </w:r>
    </w:p>
    <w:p w:rsidR="00000000" w:rsidDel="00000000" w:rsidP="00000000" w:rsidRDefault="00000000" w:rsidRPr="00000000" w14:paraId="00000009">
      <w:pPr>
        <w:spacing w:after="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Amaç, Kapsam, Dayanak</w:t>
      </w:r>
    </w:p>
    <w:p w:rsidR="00000000" w:rsidDel="00000000" w:rsidP="00000000" w:rsidRDefault="00000000" w:rsidRPr="00000000" w14:paraId="0000000A">
      <w:pPr>
        <w:spacing w:after="1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1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Amaç</w:t>
      </w:r>
    </w:p>
    <w:p w:rsidR="00000000" w:rsidDel="00000000" w:rsidP="00000000" w:rsidRDefault="00000000" w:rsidRPr="00000000" w14:paraId="0000000C">
      <w:pPr>
        <w:spacing w:after="120" w:line="276"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 – </w:t>
      </w:r>
      <w:r w:rsidDel="00000000" w:rsidR="00000000" w:rsidRPr="00000000">
        <w:rPr>
          <w:rFonts w:ascii="Times New Roman" w:cs="Times New Roman" w:eastAsia="Times New Roman" w:hAnsi="Times New Roman"/>
          <w:sz w:val="24"/>
          <w:szCs w:val="24"/>
          <w:rtl w:val="0"/>
        </w:rPr>
        <w:t xml:space="preserve">Bu yönerge, Çukurova Üniversitesi İletişim Fakültesi Radyo, Televizyon ve Sinema Bölümü</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öğrenci stajlarının temel ilkelerini planlama, uygulama ve değerlendirme kurallarını düzenlemeyi amaçlamaktadır.</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Kapsam</w:t>
      </w:r>
      <w:r w:rsidDel="00000000" w:rsidR="00000000" w:rsidRPr="00000000">
        <w:rPr>
          <w:rtl w:val="0"/>
        </w:rPr>
      </w:r>
    </w:p>
    <w:p w:rsidR="00000000" w:rsidDel="00000000" w:rsidP="00000000" w:rsidRDefault="00000000" w:rsidRPr="00000000" w14:paraId="0000000E">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w:t>
      </w:r>
      <w:r w:rsidDel="00000000" w:rsidR="00000000" w:rsidRPr="00000000">
        <w:rPr>
          <w:rFonts w:ascii="Times New Roman" w:cs="Times New Roman" w:eastAsia="Times New Roman" w:hAnsi="Times New Roman"/>
          <w:sz w:val="24"/>
          <w:szCs w:val="24"/>
          <w:rtl w:val="0"/>
        </w:rPr>
        <w:t xml:space="preserve"> Bu yönerge, Çukurova Üniversitesi İletişim Fakültesi, Radyo, Televizyon ve Sinema Bölümü öğrenci stajlarının planlanması, yürütülmesi ve değerlendirilmesi ile ilgili temel kural, ilke, amaç ve yöntemlerle ilgili esasları kapsamaktadır.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after="120" w:line="276"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Dayanak</w:t>
      </w:r>
    </w:p>
    <w:p w:rsidR="00000000" w:rsidDel="00000000" w:rsidP="00000000" w:rsidRDefault="00000000" w:rsidRPr="00000000" w14:paraId="00000011">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w:t>
      </w:r>
      <w:r w:rsidDel="00000000" w:rsidR="00000000" w:rsidRPr="00000000">
        <w:rPr>
          <w:rFonts w:ascii="Times New Roman" w:cs="Times New Roman" w:eastAsia="Times New Roman" w:hAnsi="Times New Roman"/>
          <w:sz w:val="24"/>
          <w:szCs w:val="24"/>
          <w:rtl w:val="0"/>
        </w:rPr>
        <w:t xml:space="preserve"> Bu yönerge, Çukurova Üniversitesi İletişim Fakültesi, Radyo, Televizyon ve Sinema Bölümü öğrencilerinin staj esaslarını düzenlemek amacıyla 16.06.2013 tarih ve 28679 sayılı Resmi Gazete’de yayımlanan Çukurova Üniversitesi Ön Lisans ve Lisans Eğitim-Öğretim ve Sınav Yönetmeliği’nin 20, 24, 25, maddeleri gereğince hazırlanmıştır.</w:t>
      </w:r>
    </w:p>
    <w:p w:rsidR="00000000" w:rsidDel="00000000" w:rsidP="00000000" w:rsidRDefault="00000000" w:rsidRPr="00000000" w14:paraId="00000012">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w:t>
      </w:r>
      <w:r w:rsidDel="00000000" w:rsidR="00000000" w:rsidRPr="00000000">
        <w:rPr>
          <w:rFonts w:ascii="Times New Roman" w:cs="Times New Roman" w:eastAsia="Times New Roman" w:hAnsi="Times New Roman"/>
          <w:sz w:val="24"/>
          <w:szCs w:val="24"/>
          <w:rtl w:val="0"/>
        </w:rPr>
        <w:t xml:space="preserve"> Çukurova Üniversitesi İletişim Fakültesi Radyo, Televizyon ve Sinema Bölümü öğrencilerinin staj yapmaları zorunludur.</w:t>
      </w:r>
    </w:p>
    <w:p w:rsidR="00000000" w:rsidDel="00000000" w:rsidP="00000000" w:rsidRDefault="00000000" w:rsidRPr="00000000" w14:paraId="00000013">
      <w:pP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4">
      <w:pPr>
        <w:spacing w:after="120" w:line="276"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Tanımlar</w:t>
      </w:r>
    </w:p>
    <w:p w:rsidR="00000000" w:rsidDel="00000000" w:rsidP="00000000" w:rsidRDefault="00000000" w:rsidRPr="00000000" w14:paraId="00000015">
      <w:pP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Madde 5- </w:t>
      </w:r>
      <w:r w:rsidDel="00000000" w:rsidR="00000000" w:rsidRPr="00000000">
        <w:rPr>
          <w:rFonts w:ascii="Times New Roman" w:cs="Times New Roman" w:eastAsia="Times New Roman" w:hAnsi="Times New Roman"/>
          <w:sz w:val="24"/>
          <w:szCs w:val="24"/>
          <w:rtl w:val="0"/>
        </w:rPr>
        <w:t xml:space="preserve">Bu yönergede geçen;</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5"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 Çukurova Üniversitesi İletişim Fakültesi Radyo, Televizyon ve Sinema Bölümünü,</w:t>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5"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 Staj Komisyonu: Stajla ilgili faaliyetleri planlama, uygulama ve değerlendirme için Çukurova Üniversitesi İletişim Fakültesi Radyo, Televizyon ve Sinema Bölümünce oluşturulan komisyon</w:t>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0" w:right="0" w:hanging="35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Dekanlık; Çukurova Üniversitesi İletişim Fakültesi Dekanlığını,</w:t>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0" w:right="0" w:hanging="35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 Çukurova Üniversitesi İletişim Fakültesini,</w:t>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0" w:right="0" w:hanging="35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 Kurulu: İletişim Fakültesi Fakülte Kurulunu,</w:t>
      </w:r>
    </w:p>
    <w:p w:rsidR="00000000" w:rsidDel="00000000" w:rsidP="00000000" w:rsidRDefault="00000000" w:rsidRPr="00000000" w14:paraId="000000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0" w:right="0" w:hanging="35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 Çukurova Üniversitesini,</w:t>
      </w:r>
    </w:p>
    <w:p w:rsidR="00000000" w:rsidDel="00000000" w:rsidP="00000000" w:rsidRDefault="00000000" w:rsidRPr="00000000" w14:paraId="0000001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1060" w:right="0" w:hanging="35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Yönerge: Çukurova Üniversitesi İletişim Fakültesi Radyo, Televizyon ve Sinema Bölümü staj yönergesini ifade eder.</w:t>
      </w:r>
    </w:p>
    <w:p w:rsidR="00000000" w:rsidDel="00000000" w:rsidP="00000000" w:rsidRDefault="00000000" w:rsidRPr="00000000" w14:paraId="0000001D">
      <w:pPr>
        <w:spacing w:after="12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12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İKİNCİ BÖLÜM</w:t>
      </w:r>
    </w:p>
    <w:p w:rsidR="00000000" w:rsidDel="00000000" w:rsidP="00000000" w:rsidRDefault="00000000" w:rsidRPr="00000000" w14:paraId="00000020">
      <w:pPr>
        <w:spacing w:after="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Komisyonu, Staj ile İlgili Belgeler, Staj Başvurusu</w:t>
      </w:r>
    </w:p>
    <w:p w:rsidR="00000000" w:rsidDel="00000000" w:rsidP="00000000" w:rsidRDefault="00000000" w:rsidRPr="00000000" w14:paraId="00000021">
      <w:pPr>
        <w:spacing w:after="1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Staj Komisyonu</w:t>
      </w:r>
    </w:p>
    <w:p w:rsidR="00000000" w:rsidDel="00000000" w:rsidP="00000000" w:rsidRDefault="00000000" w:rsidRPr="00000000" w14:paraId="00000022">
      <w:pP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Madde 6- </w:t>
      </w:r>
      <w:r w:rsidDel="00000000" w:rsidR="00000000" w:rsidRPr="00000000">
        <w:rPr>
          <w:rFonts w:ascii="Times New Roman" w:cs="Times New Roman" w:eastAsia="Times New Roman" w:hAnsi="Times New Roman"/>
          <w:sz w:val="24"/>
          <w:szCs w:val="24"/>
          <w:rtl w:val="0"/>
        </w:rPr>
        <w:t xml:space="preserve">Bölümde öğrencilerin staj çalışmalarını düzenlemek ve yürütmek üzere bir Staj Komisyonu kurulur. Staj Komisyonu, Bölüm Başkanınca görevlendirilen biri başkan olmak üzere, en az üç öğretim elemanından oluşur. Komisyonun görevleri şunlardır:</w:t>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Staj ile ilgili esasları belirlemek,</w:t>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Staj ile ilgili ön hazırlıkları yapmak,</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Staj için başvuran öğrencilerin staj işlemlerini yapmak,</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Gelen staj dosyalarını inceleyip ve değerlendirerek sonucu bölüm başkanlığına iletmek.</w:t>
      </w:r>
    </w:p>
    <w:p w:rsidR="00000000" w:rsidDel="00000000" w:rsidP="00000000" w:rsidRDefault="00000000" w:rsidRPr="00000000" w14:paraId="00000027">
      <w:pPr>
        <w:spacing w:after="120" w:line="276" w:lineRule="auto"/>
        <w:ind w:left="70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İle İlgili Belgeler</w:t>
      </w:r>
    </w:p>
    <w:p w:rsidR="00000000" w:rsidDel="00000000" w:rsidP="00000000" w:rsidRDefault="00000000" w:rsidRPr="00000000" w14:paraId="00000028">
      <w:pPr>
        <w:spacing w:after="120" w:line="276"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 </w:t>
      </w:r>
      <w:r w:rsidDel="00000000" w:rsidR="00000000" w:rsidRPr="00000000">
        <w:rPr>
          <w:rFonts w:ascii="Times New Roman" w:cs="Times New Roman" w:eastAsia="Times New Roman" w:hAnsi="Times New Roman"/>
          <w:sz w:val="24"/>
          <w:szCs w:val="24"/>
          <w:rtl w:val="0"/>
        </w:rPr>
        <w:t xml:space="preserve">Öğrencilerin stajları ile ilgili belgeleri aşağıda tanımlanmıştır.</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Staj Başvuru Formu: Öğrenciler tarafından doldurulan, staj yapmak istedikleri işletme tarafından staj isteğinin kabul edildiğini belirten formdur.</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Staj Değerlendirme Formu: İş yeri staj sorumlusu tarafından her stajyer için staj süresince yaptığı çalışmaları çeşitli ölçütlere göre değerlendiren ve sonunda öğrencinin başarılı olup olmadığını belirten standart belgedir.</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Staj Raporu: Staj komisyonunca belirlenecek formata uygun olarak öğrenciler tarafından tamamlanan staj ile ilgili düzenlenen rapordur.</w:t>
      </w:r>
    </w:p>
    <w:p w:rsidR="00000000" w:rsidDel="00000000" w:rsidP="00000000" w:rsidRDefault="00000000" w:rsidRPr="00000000" w14:paraId="0000002C">
      <w:pPr>
        <w:spacing w:after="120" w:line="276" w:lineRule="auto"/>
        <w:ind w:left="360"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120" w:line="276"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İşlemleri</w:t>
      </w:r>
    </w:p>
    <w:p w:rsidR="00000000" w:rsidDel="00000000" w:rsidP="00000000" w:rsidRDefault="00000000" w:rsidRPr="00000000" w14:paraId="0000002E">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8- </w:t>
      </w:r>
      <w:r w:rsidDel="00000000" w:rsidR="00000000" w:rsidRPr="00000000">
        <w:rPr>
          <w:rFonts w:ascii="Times New Roman" w:cs="Times New Roman" w:eastAsia="Times New Roman" w:hAnsi="Times New Roman"/>
          <w:sz w:val="24"/>
          <w:szCs w:val="24"/>
          <w:rtl w:val="0"/>
        </w:rPr>
        <w:t xml:space="preserve">Staj işlemleri şunlardır:</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Staj yeri seçimi, staj için başvuru ve bölüm onayı,</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Staj raporunun öğrenci tarafından hazırlanması,</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Stajın işyerince değerlendirilmesi ve değerlendirme sonuçlarının Çukurova Üniversitesi İletişim Fakültesi Radyo, Televizyon ve Sinema Bölüm Başkanlığına iletilmesi,</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Yapılan stajın ve staj raporunun bölüm staj komisyonu tarafından değerlendirilmesi.</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after="120" w:line="276"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Başvurusu</w:t>
      </w:r>
    </w:p>
    <w:p w:rsidR="00000000" w:rsidDel="00000000" w:rsidP="00000000" w:rsidRDefault="00000000" w:rsidRPr="00000000" w14:paraId="00000035">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9- </w:t>
      </w:r>
      <w:r w:rsidDel="00000000" w:rsidR="00000000" w:rsidRPr="00000000">
        <w:rPr>
          <w:rFonts w:ascii="Times New Roman" w:cs="Times New Roman" w:eastAsia="Times New Roman" w:hAnsi="Times New Roman"/>
          <w:sz w:val="24"/>
          <w:szCs w:val="24"/>
          <w:rtl w:val="0"/>
        </w:rPr>
        <w:t xml:space="preserve">Öğrencinin, staja başlamadan en az 20 gün önce Bölüm Başkanlığına başvuruda bulunması zorunludur. Öğrenci, staj için başvuru yaptığı kurumdan alacağı kabul belgesini Staj Komisyonu’na onaylatır. Onaylı belgeyi Bölüm Sekreterliğine teslim eden öğrenciye staj ile ilgili belgeler verilir.</w:t>
      </w:r>
    </w:p>
    <w:p w:rsidR="00000000" w:rsidDel="00000000" w:rsidP="00000000" w:rsidRDefault="00000000" w:rsidRPr="00000000" w14:paraId="00000036">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10-</w:t>
      </w:r>
      <w:r w:rsidDel="00000000" w:rsidR="00000000" w:rsidRPr="00000000">
        <w:rPr>
          <w:rFonts w:ascii="Times New Roman" w:cs="Times New Roman" w:eastAsia="Times New Roman" w:hAnsi="Times New Roman"/>
          <w:sz w:val="24"/>
          <w:szCs w:val="24"/>
          <w:rtl w:val="0"/>
        </w:rPr>
        <w:t xml:space="preserve"> Staj Yapılacak Yerler;</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 Staj Komisyonu tarafından uygun görülen yurt içinde kamu veya özel sektöre ait kurum ve kuruluşlarda, sivil toplum örgütlerinde staj yapabilirler. Ancak uygun staj yeri bulma sorumluluğu tümüyle öğrenciye aittir.</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 kendi bulduğu kurum ve kuruluşlarda staja başlamadan önce Staj Komisyonu’nun olurunu almak zorundadır.</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Yurt dışında staj yapmak isteyen öğrenciler stajlarını ERASMUS+ programı kapsamında gerçekleştirebilecekleri gibi kendi girişimleri sonucu buldukları kurum ve kuruluşlarda Bölüm Staj Komisyonunun yazılı onayını almak koşuluyla staj yapabilirler. </w:t>
      </w:r>
    </w:p>
    <w:p w:rsidR="00000000" w:rsidDel="00000000" w:rsidP="00000000" w:rsidRDefault="00000000" w:rsidRPr="00000000" w14:paraId="0000003A">
      <w:pPr>
        <w:spacing w:after="120" w:line="276" w:lineRule="auto"/>
        <w:ind w:left="1418" w:hanging="284.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 Öğrenciler staja başladıktan sonra, Staj Komisyonu’nun onayı olmaksızın staj yeri ve süresinde değişiklik yapamazlar.</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Grev ve lokavt uygulaması; deprem, yangın ve sel gibi doğal afet olması durumunda, öğrenciler stajlarını Staj Komisyonu’nun onayını almak koşuluyla başka kurum ve kuruluşlarda sürdürebilirler.</w:t>
      </w:r>
    </w:p>
    <w:p w:rsidR="00000000" w:rsidDel="00000000" w:rsidP="00000000" w:rsidRDefault="00000000" w:rsidRPr="00000000" w14:paraId="0000003C">
      <w:pPr>
        <w:spacing w:after="120" w:line="276" w:lineRule="auto"/>
        <w:ind w:left="708" w:firstLine="35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120" w:line="276" w:lineRule="auto"/>
        <w:ind w:left="708" w:firstLine="35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ÜÇÜNCÜ BÖLÜM</w:t>
      </w:r>
    </w:p>
    <w:p w:rsidR="00000000" w:rsidDel="00000000" w:rsidP="00000000" w:rsidRDefault="00000000" w:rsidRPr="00000000" w14:paraId="0000003E">
      <w:pPr>
        <w:spacing w:after="120" w:line="276" w:lineRule="auto"/>
        <w:ind w:left="708" w:firstLine="35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Süresi ve Devam Zorunluluğu</w:t>
      </w:r>
    </w:p>
    <w:p w:rsidR="00000000" w:rsidDel="00000000" w:rsidP="00000000" w:rsidRDefault="00000000" w:rsidRPr="00000000" w14:paraId="0000003F">
      <w:pPr>
        <w:spacing w:after="120" w:line="276" w:lineRule="auto"/>
        <w:ind w:left="708" w:firstLine="35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76"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Stajın Başlaması ve Süresi</w:t>
      </w:r>
    </w:p>
    <w:p w:rsidR="00000000" w:rsidDel="00000000" w:rsidP="00000000" w:rsidRDefault="00000000" w:rsidRPr="00000000" w14:paraId="00000041">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11- </w:t>
      </w:r>
      <w:r w:rsidDel="00000000" w:rsidR="00000000" w:rsidRPr="00000000">
        <w:rPr>
          <w:rFonts w:ascii="Times New Roman" w:cs="Times New Roman" w:eastAsia="Times New Roman" w:hAnsi="Times New Roman"/>
          <w:sz w:val="24"/>
          <w:szCs w:val="24"/>
          <w:rtl w:val="0"/>
        </w:rPr>
        <w:t xml:space="preserve">Öğrenciler, aşağıda belirtilen kurallar çerçevesinde staj sürelerini ve zamanlarını belirler:</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 dördüncü yarıyılın sonundan itibaren staja başvurabilirler. </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Staj, esas olarak eğitim öğretimin fiilen yapılmadığı süreler içinde yapılır. Ancak, en çok 10 AKTS kredilik derse devam zorunluluğu olan öğrenciler bu kuralın dışında tutulur ve almış oldukları derslerle çakışmadığı günlerde stajlarına herhangi bir tarihte başlayabilir.</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Öğrencilerin, lisans eğitimi boyunca staj süresi 20 iş günüdür.</w:t>
      </w:r>
    </w:p>
    <w:p w:rsidR="00000000" w:rsidDel="00000000" w:rsidP="00000000" w:rsidRDefault="00000000" w:rsidRPr="00000000" w14:paraId="00000045">
      <w:pPr>
        <w:spacing w:after="120" w:line="276"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120" w:line="276"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Devam Zorunluluğu</w:t>
      </w:r>
    </w:p>
    <w:p w:rsidR="00000000" w:rsidDel="00000000" w:rsidP="00000000" w:rsidRDefault="00000000" w:rsidRPr="00000000" w14:paraId="00000047">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12- </w:t>
      </w:r>
      <w:r w:rsidDel="00000000" w:rsidR="00000000" w:rsidRPr="00000000">
        <w:rPr>
          <w:rFonts w:ascii="Times New Roman" w:cs="Times New Roman" w:eastAsia="Times New Roman" w:hAnsi="Times New Roman"/>
          <w:sz w:val="24"/>
          <w:szCs w:val="24"/>
          <w:rtl w:val="0"/>
        </w:rPr>
        <w:t xml:space="preserve">Staja devam zorunludur. Geçerli mazeretler nedeniyle devam edilemeyen günler telafi edilmelidir.</w:t>
      </w:r>
    </w:p>
    <w:p w:rsidR="00000000" w:rsidDel="00000000" w:rsidP="00000000" w:rsidRDefault="00000000" w:rsidRPr="00000000" w14:paraId="00000048">
      <w:pPr>
        <w:spacing w:after="120" w:line="276"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DÖRDÜNCÜ BÖLÜM</w:t>
      </w:r>
    </w:p>
    <w:p w:rsidR="00000000" w:rsidDel="00000000" w:rsidP="00000000" w:rsidRDefault="00000000" w:rsidRPr="00000000" w14:paraId="0000004A">
      <w:pPr>
        <w:spacing w:after="120" w:line="276"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Staj Uygulama İlkeleri</w:t>
      </w:r>
    </w:p>
    <w:p w:rsidR="00000000" w:rsidDel="00000000" w:rsidP="00000000" w:rsidRDefault="00000000" w:rsidRPr="00000000" w14:paraId="0000004B">
      <w:pPr>
        <w:spacing w:after="120" w:line="276"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120" w:line="276"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Stajın Uygulama İlkeleri</w:t>
      </w:r>
    </w:p>
    <w:p w:rsidR="00000000" w:rsidDel="00000000" w:rsidP="00000000" w:rsidRDefault="00000000" w:rsidRPr="00000000" w14:paraId="0000004D">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13- </w:t>
      </w:r>
      <w:r w:rsidDel="00000000" w:rsidR="00000000" w:rsidRPr="00000000">
        <w:rPr>
          <w:rFonts w:ascii="Times New Roman" w:cs="Times New Roman" w:eastAsia="Times New Roman" w:hAnsi="Times New Roman"/>
          <w:sz w:val="24"/>
          <w:szCs w:val="24"/>
          <w:rtl w:val="0"/>
        </w:rPr>
        <w:t xml:space="preserve">Staj yapan öğrenci, Staj Değerlendirme Formu’nu staj yaptığı birimin yetkilisine verir. Bu form, staj bitiminde yetkili kişi tarafından doldurulup onaylandıktan sonra ağzı kapalı ve üzerinde kurum ve kuruluş kaşesi olan bir zarf içinde ilgili bölüme gönderilir. Kurum ve kuruluşların kaşesi ve onayı olmayan formlar değerlendirmede dikkate alınmaz.</w:t>
      </w:r>
    </w:p>
    <w:p w:rsidR="00000000" w:rsidDel="00000000" w:rsidP="00000000" w:rsidRDefault="00000000" w:rsidRPr="00000000" w14:paraId="0000004E">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Staj süresince yapılan çalışmalar, öğrenci tarafından Staj Raporu’na düzenli olarak işlenir ve staj yerindeki yetkili kişinin unvanı belirtilerek, ilgilinin kaşe ve imzası ile onaylanır. İmza, kaşe ve tarih bulunmayan, üzerinde silinti, kazıntı ve usulüne uygun olmayan düzeltme yapılan staj raporları kabul edilmez.</w:t>
      </w:r>
    </w:p>
    <w:p w:rsidR="00000000" w:rsidDel="00000000" w:rsidP="00000000" w:rsidRDefault="00000000" w:rsidRPr="00000000" w14:paraId="0000004F">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öğrenci, Staj Raporu’nu staj bitiminden sonra takip eden akademik yarıyılın başladığı ay içinde Staj Komisyonlarınca belirlenen tarihe kadar teslim etmek zorundadır. Raporunu ilan edilen tarihten sonra teslim eden öğrencilerin stajı kabul edilmez.</w:t>
      </w:r>
    </w:p>
    <w:p w:rsidR="00000000" w:rsidDel="00000000" w:rsidP="00000000" w:rsidRDefault="00000000" w:rsidRPr="00000000" w14:paraId="00000050">
      <w:pPr>
        <w:spacing w:after="12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staj süresince Yükseköğretim Kurumları Öğrenci Disiplin Yönetmeliği hükümlerine, staj yaptığı kurumun çalışma ilkelerine, iş koşulları, disiplin ve iş güvenliğine ilişkin kurallarına ve yasal düzenlemelerine uymak zorundadır.</w:t>
      </w:r>
    </w:p>
    <w:p w:rsidR="00000000" w:rsidDel="00000000" w:rsidP="00000000" w:rsidRDefault="00000000" w:rsidRPr="00000000" w14:paraId="00000051">
      <w:pPr>
        <w:spacing w:after="120" w:line="276"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14- </w:t>
      </w:r>
      <w:r w:rsidDel="00000000" w:rsidR="00000000" w:rsidRPr="00000000">
        <w:rPr>
          <w:rFonts w:ascii="Times New Roman" w:cs="Times New Roman" w:eastAsia="Times New Roman" w:hAnsi="Times New Roman"/>
          <w:sz w:val="24"/>
          <w:szCs w:val="24"/>
          <w:rtl w:val="0"/>
        </w:rPr>
        <w:t xml:space="preserve">Radyo, Televizyon ve Sinema bölüm kurulu staj statüsü ve uygulamasının nasıl olacağını bir sonraki yıl eğitim öğretim planlaması kapsamında yapar.</w:t>
      </w:r>
    </w:p>
    <w:p w:rsidR="00000000" w:rsidDel="00000000" w:rsidP="00000000" w:rsidRDefault="00000000" w:rsidRPr="00000000" w14:paraId="00000052">
      <w:pPr>
        <w:spacing w:after="120" w:line="276"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15-</w:t>
      </w:r>
      <w:r w:rsidDel="00000000" w:rsidR="00000000" w:rsidRPr="00000000">
        <w:rPr>
          <w:rFonts w:ascii="Times New Roman" w:cs="Times New Roman" w:eastAsia="Times New Roman" w:hAnsi="Times New Roman"/>
          <w:sz w:val="24"/>
          <w:szCs w:val="24"/>
          <w:rtl w:val="0"/>
        </w:rPr>
        <w:t xml:space="preserve"> Staj yapacak öğrencilerin SGK primleri 5510 sayılı Sayılı Sosyal Sigortalar ve GSS Kanunu’nun 5’inci maddesinin “b” bendine göre Üniversitemiz tarafından ödenecektir. </w:t>
      </w:r>
    </w:p>
    <w:p w:rsidR="00000000" w:rsidDel="00000000" w:rsidP="00000000" w:rsidRDefault="00000000" w:rsidRPr="00000000" w14:paraId="00000053">
      <w:pPr>
        <w:spacing w:after="120" w:line="276"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120" w:line="276"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120" w:line="276"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120" w:line="276"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BÖLÜM</w:t>
      </w:r>
    </w:p>
    <w:p w:rsidR="00000000" w:rsidDel="00000000" w:rsidP="00000000" w:rsidRDefault="00000000" w:rsidRPr="00000000" w14:paraId="00000058">
      <w:pPr>
        <w:spacing w:after="120" w:line="276"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Stajın İzlenmesi ve Değerlendirilmesi, Diğer Hükümler</w:t>
      </w:r>
    </w:p>
    <w:p w:rsidR="00000000" w:rsidDel="00000000" w:rsidP="00000000" w:rsidRDefault="00000000" w:rsidRPr="00000000" w14:paraId="00000059">
      <w:pPr>
        <w:spacing w:after="120" w:line="276" w:lineRule="auto"/>
        <w:ind w:firstLine="70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120" w:line="276"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Stajın İzlenmesi ve Değerlendirilmesi</w:t>
      </w:r>
    </w:p>
    <w:p w:rsidR="00000000" w:rsidDel="00000000" w:rsidP="00000000" w:rsidRDefault="00000000" w:rsidRPr="00000000" w14:paraId="0000005B">
      <w:pPr>
        <w:spacing w:after="12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16-</w:t>
      </w:r>
      <w:r w:rsidDel="00000000" w:rsidR="00000000" w:rsidRPr="00000000">
        <w:rPr>
          <w:rFonts w:ascii="Times New Roman" w:cs="Times New Roman" w:eastAsia="Times New Roman" w:hAnsi="Times New Roman"/>
          <w:sz w:val="24"/>
          <w:szCs w:val="24"/>
          <w:rtl w:val="0"/>
        </w:rPr>
        <w:t xml:space="preserve"> Staj komisyonu üyeleri, gerekli görüldüğü durumlarda stajın amacına ve kurallarına uygun yürütülmesi için gerekli izlemeyi yapabilir veya stajın yapıldığı işletme ile iletişime geçip staj yapan öğrenci hakkında bilgi alarak öğrencilerin izlenmesini sağlayabilir.</w:t>
      </w:r>
    </w:p>
    <w:p w:rsidR="00000000" w:rsidDel="00000000" w:rsidP="00000000" w:rsidRDefault="00000000" w:rsidRPr="00000000" w14:paraId="0000005C">
      <w:pPr>
        <w:spacing w:after="12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Staj değerlendirme formu, staj dosyası ve stajla ilgili ek bilgi ve belgelerin komisyonca incelenmesiyle öğrenci başarılı/başarısız olarak değerlendirilir. Öğrencinin stajda başarılı sayılması için öncelikle staj değerlendirme formuna göre başarılı olması zorunludur. Komisyon, değerlendirme aşamasında öğrenciden staj çalışmalarının sözlü sunumunu isteyebilir. Bazı durumlarda Staj Komisyonu’nca öğrencinin stajının sadece bir bölümü kabul edilebilir.</w:t>
      </w:r>
    </w:p>
    <w:p w:rsidR="00000000" w:rsidDel="00000000" w:rsidP="00000000" w:rsidRDefault="00000000" w:rsidRPr="00000000" w14:paraId="0000005D">
      <w:pPr>
        <w:spacing w:after="12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Stajla ilgili her türlü belge, staj değerlendirme toplantısından sonra saklanmak üzere öğrenci işleri bürosuna teslim edilir.</w:t>
      </w:r>
    </w:p>
    <w:p w:rsidR="00000000" w:rsidDel="00000000" w:rsidP="00000000" w:rsidRDefault="00000000" w:rsidRPr="00000000" w14:paraId="0000005E">
      <w:pPr>
        <w:spacing w:after="120" w:line="276"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Yürürlük</w:t>
      </w:r>
    </w:p>
    <w:p w:rsidR="00000000" w:rsidDel="00000000" w:rsidP="00000000" w:rsidRDefault="00000000" w:rsidRPr="00000000" w14:paraId="0000005F">
      <w:pPr>
        <w:spacing w:after="12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17- </w:t>
      </w:r>
      <w:r w:rsidDel="00000000" w:rsidR="00000000" w:rsidRPr="00000000">
        <w:rPr>
          <w:rFonts w:ascii="Times New Roman" w:cs="Times New Roman" w:eastAsia="Times New Roman" w:hAnsi="Times New Roman"/>
          <w:sz w:val="24"/>
          <w:szCs w:val="24"/>
          <w:rtl w:val="0"/>
        </w:rPr>
        <w:t xml:space="preserve">Bu Yönerge, Çukurova Üniversitesi İletişim Fakültesi Fakülte Kurulu tarafından onaylandığı tarihte yürürlüğe girer.</w:t>
      </w:r>
    </w:p>
    <w:p w:rsidR="00000000" w:rsidDel="00000000" w:rsidP="00000000" w:rsidRDefault="00000000" w:rsidRPr="00000000" w14:paraId="00000060">
      <w:pPr>
        <w:spacing w:after="120" w:line="276"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Yürütme</w:t>
      </w:r>
    </w:p>
    <w:p w:rsidR="00000000" w:rsidDel="00000000" w:rsidP="00000000" w:rsidRDefault="00000000" w:rsidRPr="00000000" w14:paraId="00000061">
      <w:pPr>
        <w:spacing w:after="120" w:line="276"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18-</w:t>
      </w:r>
      <w:r w:rsidDel="00000000" w:rsidR="00000000" w:rsidRPr="00000000">
        <w:rPr>
          <w:rFonts w:ascii="Times New Roman" w:cs="Times New Roman" w:eastAsia="Times New Roman" w:hAnsi="Times New Roman"/>
          <w:sz w:val="24"/>
          <w:szCs w:val="24"/>
          <w:rtl w:val="0"/>
        </w:rPr>
        <w:t xml:space="preserve"> Bu Yönergeyi Çukurova Üniversitesi İletişim Fakültesi Dekanı yürütür.</w:t>
      </w:r>
    </w:p>
    <w:sectPr>
      <w:footerReference r:id="rId6" w:type="default"/>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26" w:hanging="360"/>
      </w:pPr>
      <w:rPr/>
    </w:lvl>
    <w:lvl w:ilvl="1">
      <w:start w:val="1"/>
      <w:numFmt w:val="lowerLetter"/>
      <w:lvlText w:val="%2."/>
      <w:lvlJc w:val="left"/>
      <w:pPr>
        <w:ind w:left="2146" w:hanging="360"/>
      </w:pPr>
      <w:rPr/>
    </w:lvl>
    <w:lvl w:ilvl="2">
      <w:start w:val="1"/>
      <w:numFmt w:val="lowerRoman"/>
      <w:lvlText w:val="%3."/>
      <w:lvlJc w:val="right"/>
      <w:pPr>
        <w:ind w:left="2866" w:hanging="180"/>
      </w:pPr>
      <w:rPr/>
    </w:lvl>
    <w:lvl w:ilvl="3">
      <w:start w:val="1"/>
      <w:numFmt w:val="decimal"/>
      <w:lvlText w:val="%4."/>
      <w:lvlJc w:val="left"/>
      <w:pPr>
        <w:ind w:left="3586" w:hanging="360"/>
      </w:pPr>
      <w:rPr/>
    </w:lvl>
    <w:lvl w:ilvl="4">
      <w:start w:val="1"/>
      <w:numFmt w:val="lowerLetter"/>
      <w:lvlText w:val="%5."/>
      <w:lvlJc w:val="left"/>
      <w:pPr>
        <w:ind w:left="4306" w:hanging="360"/>
      </w:pPr>
      <w:rPr/>
    </w:lvl>
    <w:lvl w:ilvl="5">
      <w:start w:val="1"/>
      <w:numFmt w:val="lowerRoman"/>
      <w:lvlText w:val="%6."/>
      <w:lvlJc w:val="right"/>
      <w:pPr>
        <w:ind w:left="5026" w:hanging="180"/>
      </w:pPr>
      <w:rPr/>
    </w:lvl>
    <w:lvl w:ilvl="6">
      <w:start w:val="1"/>
      <w:numFmt w:val="decimal"/>
      <w:lvlText w:val="%7."/>
      <w:lvlJc w:val="left"/>
      <w:pPr>
        <w:ind w:left="5746" w:hanging="360"/>
      </w:pPr>
      <w:rPr/>
    </w:lvl>
    <w:lvl w:ilvl="7">
      <w:start w:val="1"/>
      <w:numFmt w:val="lowerLetter"/>
      <w:lvlText w:val="%8."/>
      <w:lvlJc w:val="left"/>
      <w:pPr>
        <w:ind w:left="6466" w:hanging="360"/>
      </w:pPr>
      <w:rPr/>
    </w:lvl>
    <w:lvl w:ilvl="8">
      <w:start w:val="1"/>
      <w:numFmt w:val="lowerRoman"/>
      <w:lvlText w:val="%9."/>
      <w:lvlJc w:val="right"/>
      <w:pPr>
        <w:ind w:left="7186" w:hanging="180"/>
      </w:pPr>
      <w:rPr/>
    </w:lvl>
  </w:abstractNum>
  <w:abstractNum w:abstractNumId="2">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4">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5">
    <w:lvl w:ilvl="0">
      <w:start w:val="1"/>
      <w:numFmt w:val="lowerLetter"/>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6">
    <w:lvl w:ilvl="0">
      <w:start w:val="1"/>
      <w:numFmt w:val="lowerLetter"/>
      <w:lvlText w:val="%1)"/>
      <w:lvlJc w:val="left"/>
      <w:pPr>
        <w:ind w:left="1065" w:hanging="360"/>
      </w:pPr>
      <w:rPr>
        <w:b w:val="0"/>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