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42" w:rsidRPr="000D0AF6" w:rsidRDefault="000A4442" w:rsidP="000A4442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0A4442" w:rsidRPr="000D0AF6" w:rsidRDefault="000A4442" w:rsidP="000A4442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0A4442" w:rsidRPr="000D0AF6" w:rsidRDefault="000A4442" w:rsidP="000A4442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0A4442" w:rsidRPr="000D0AF6" w:rsidRDefault="000A4442" w:rsidP="000A4442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0A4442" w:rsidRDefault="000A4442" w:rsidP="000A4442"/>
    <w:p w:rsidR="000A4442" w:rsidRDefault="000A4442" w:rsidP="000A4442">
      <w:pPr>
        <w:jc w:val="both"/>
        <w:rPr>
          <w:b/>
          <w:sz w:val="24"/>
          <w:szCs w:val="24"/>
        </w:rPr>
      </w:pPr>
    </w:p>
    <w:p w:rsidR="000A4442" w:rsidRDefault="000A4442" w:rsidP="000A44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23 Mayıs 2018</w:t>
      </w:r>
    </w:p>
    <w:p w:rsidR="000A4442" w:rsidRDefault="000A4442" w:rsidP="000A44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20</w:t>
      </w:r>
    </w:p>
    <w:p w:rsidR="000A4442" w:rsidRDefault="000A4442" w:rsidP="000A4442">
      <w:pPr>
        <w:jc w:val="both"/>
        <w:rPr>
          <w:b/>
          <w:sz w:val="24"/>
          <w:szCs w:val="24"/>
        </w:rPr>
      </w:pPr>
    </w:p>
    <w:p w:rsidR="000A4442" w:rsidRDefault="000A4442" w:rsidP="000A4442">
      <w:pPr>
        <w:jc w:val="both"/>
        <w:rPr>
          <w:b/>
          <w:sz w:val="24"/>
          <w:szCs w:val="24"/>
        </w:rPr>
      </w:pPr>
    </w:p>
    <w:p w:rsidR="000A4442" w:rsidRDefault="000A4442" w:rsidP="000A4442">
      <w:pPr>
        <w:jc w:val="both"/>
        <w:rPr>
          <w:b/>
          <w:sz w:val="24"/>
          <w:szCs w:val="24"/>
        </w:rPr>
      </w:pPr>
    </w:p>
    <w:p w:rsidR="000A4442" w:rsidRDefault="000A4442" w:rsidP="000A444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01</w:t>
      </w:r>
      <w:proofErr w:type="gramEnd"/>
    </w:p>
    <w:p w:rsidR="00270293" w:rsidRDefault="00270293"/>
    <w:p w:rsidR="000A4442" w:rsidRDefault="000A4442" w:rsidP="000A4442">
      <w:pPr>
        <w:spacing w:line="240" w:lineRule="atLeast"/>
        <w:ind w:firstLine="708"/>
        <w:jc w:val="both"/>
        <w:rPr>
          <w:sz w:val="24"/>
          <w:szCs w:val="24"/>
        </w:rPr>
      </w:pPr>
      <w:r w:rsidRPr="00962F39">
        <w:rPr>
          <w:sz w:val="24"/>
          <w:szCs w:val="24"/>
        </w:rPr>
        <w:t xml:space="preserve">Öğrenci İşleri Daire Başkanlığının </w:t>
      </w:r>
      <w:proofErr w:type="gramStart"/>
      <w:r w:rsidRPr="00962F39">
        <w:rPr>
          <w:sz w:val="24"/>
          <w:szCs w:val="24"/>
        </w:rPr>
        <w:t>17/04/2018</w:t>
      </w:r>
      <w:proofErr w:type="gramEnd"/>
      <w:r w:rsidRPr="00962F39">
        <w:rPr>
          <w:sz w:val="24"/>
          <w:szCs w:val="24"/>
        </w:rPr>
        <w:t xml:space="preserve"> tarih ve E.57441 sayılı yazısına istinaden; Fakültemiz Radyo Televizyon ve Sinema Bölümü, İletişim Bilimleri Bölümü ile Gazetecilik Bölümü, 2018-2019 eğitim-öğretim yılı Güz Yarıyılı Çift </w:t>
      </w:r>
      <w:proofErr w:type="spellStart"/>
      <w:r w:rsidRPr="00962F39">
        <w:rPr>
          <w:sz w:val="24"/>
          <w:szCs w:val="24"/>
        </w:rPr>
        <w:t>Anadal</w:t>
      </w:r>
      <w:proofErr w:type="spellEnd"/>
      <w:r w:rsidRPr="00962F39">
        <w:rPr>
          <w:sz w:val="24"/>
          <w:szCs w:val="24"/>
        </w:rPr>
        <w:t xml:space="preserve"> ve/veya </w:t>
      </w:r>
      <w:proofErr w:type="spellStart"/>
      <w:r w:rsidRPr="00962F39">
        <w:rPr>
          <w:sz w:val="24"/>
          <w:szCs w:val="24"/>
        </w:rPr>
        <w:t>Yandal</w:t>
      </w:r>
      <w:proofErr w:type="spellEnd"/>
      <w:r w:rsidRPr="00962F39">
        <w:rPr>
          <w:sz w:val="24"/>
          <w:szCs w:val="24"/>
        </w:rPr>
        <w:t xml:space="preserve"> Programları için kontenjan belirlenmesi hakkında</w:t>
      </w:r>
      <w:r>
        <w:rPr>
          <w:sz w:val="24"/>
          <w:szCs w:val="24"/>
        </w:rPr>
        <w:t xml:space="preserve"> görüşüldü.</w:t>
      </w:r>
    </w:p>
    <w:p w:rsidR="000A4442" w:rsidRDefault="000A4442" w:rsidP="000A4442">
      <w:pPr>
        <w:spacing w:line="240" w:lineRule="atLeast"/>
        <w:ind w:firstLine="708"/>
        <w:jc w:val="both"/>
        <w:rPr>
          <w:sz w:val="24"/>
          <w:szCs w:val="24"/>
        </w:rPr>
      </w:pPr>
    </w:p>
    <w:p w:rsidR="000A4442" w:rsidRDefault="000A4442" w:rsidP="000A4442">
      <w:pPr>
        <w:spacing w:line="240" w:lineRule="atLeast"/>
        <w:ind w:firstLine="708"/>
        <w:jc w:val="both"/>
        <w:rPr>
          <w:spacing w:val="-4"/>
          <w:sz w:val="24"/>
          <w:szCs w:val="24"/>
        </w:rPr>
      </w:pPr>
      <w:r>
        <w:t xml:space="preserve"> </w:t>
      </w:r>
      <w:proofErr w:type="gramStart"/>
      <w:r>
        <w:rPr>
          <w:sz w:val="24"/>
          <w:szCs w:val="24"/>
        </w:rPr>
        <w:t xml:space="preserve">Üniversitemiz </w:t>
      </w:r>
      <w:r>
        <w:rPr>
          <w:i/>
          <w:sz w:val="24"/>
          <w:szCs w:val="24"/>
        </w:rPr>
        <w:t xml:space="preserve">Çift </w:t>
      </w:r>
      <w:proofErr w:type="spellStart"/>
      <w:r>
        <w:rPr>
          <w:i/>
          <w:sz w:val="24"/>
          <w:szCs w:val="24"/>
        </w:rPr>
        <w:t>Anadal</w:t>
      </w:r>
      <w:proofErr w:type="spellEnd"/>
      <w:r>
        <w:rPr>
          <w:i/>
          <w:sz w:val="24"/>
          <w:szCs w:val="24"/>
        </w:rPr>
        <w:t xml:space="preserve"> ve Yan Dal Programı Yönergeleri</w:t>
      </w:r>
      <w:r>
        <w:rPr>
          <w:sz w:val="24"/>
          <w:szCs w:val="24"/>
        </w:rPr>
        <w:t xml:space="preserve"> gereğince, 2018-2019 eğitim-öğretim yılı güz yarıyılı için, Fakültemiz bölümlerinde açılması planlanan Yan Dal kontenjanı bulunmamakta olup, Çift </w:t>
      </w:r>
      <w:proofErr w:type="spellStart"/>
      <w:r>
        <w:rPr>
          <w:sz w:val="24"/>
          <w:szCs w:val="24"/>
        </w:rPr>
        <w:t>Anadal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Yükseköğretim Kurumlarında </w:t>
      </w:r>
      <w:proofErr w:type="spellStart"/>
      <w:r>
        <w:rPr>
          <w:i/>
          <w:sz w:val="24"/>
          <w:szCs w:val="24"/>
        </w:rPr>
        <w:t>Önlisans</w:t>
      </w:r>
      <w:proofErr w:type="spellEnd"/>
      <w:r>
        <w:rPr>
          <w:i/>
          <w:sz w:val="24"/>
          <w:szCs w:val="24"/>
        </w:rPr>
        <w:t xml:space="preserve"> ve Lisans Düzeyindeki Programlar Arasında Geçiş, Çift </w:t>
      </w:r>
      <w:proofErr w:type="spellStart"/>
      <w:r>
        <w:rPr>
          <w:i/>
          <w:sz w:val="24"/>
          <w:szCs w:val="24"/>
        </w:rPr>
        <w:t>Anadal</w:t>
      </w:r>
      <w:proofErr w:type="spellEnd"/>
      <w:r>
        <w:rPr>
          <w:i/>
          <w:sz w:val="24"/>
          <w:szCs w:val="24"/>
        </w:rPr>
        <w:t xml:space="preserve"> Yan Dal İle Kurumlar Arası Kredi Transferi Yapılmasına İlişkin Yönetmeliği</w:t>
      </w:r>
      <w:r>
        <w:rPr>
          <w:sz w:val="24"/>
          <w:szCs w:val="24"/>
        </w:rPr>
        <w:t xml:space="preserve">”nin </w:t>
      </w:r>
      <w:r>
        <w:rPr>
          <w:i/>
          <w:sz w:val="24"/>
          <w:szCs w:val="24"/>
        </w:rPr>
        <w:t>17.maddesinin 2-b fıkrasının da dikkate alınarak</w:t>
      </w:r>
      <w:r>
        <w:rPr>
          <w:sz w:val="24"/>
          <w:szCs w:val="24"/>
        </w:rPr>
        <w:t>) kontenjanlarının ekteki şekliyle kabulüne, gereği için Öğrenci İşleri Daire Başkanlığına arzına toplantıya katılanların oy birliği ile karar verildi.</w:t>
      </w:r>
      <w:proofErr w:type="gramEnd"/>
    </w:p>
    <w:p w:rsidR="000A4442" w:rsidRDefault="000A4442" w:rsidP="000A4442">
      <w:pPr>
        <w:spacing w:line="240" w:lineRule="atLeast"/>
        <w:jc w:val="both"/>
        <w:rPr>
          <w:spacing w:val="-4"/>
          <w:sz w:val="24"/>
          <w:szCs w:val="24"/>
        </w:rPr>
      </w:pPr>
    </w:p>
    <w:p w:rsidR="000A4442" w:rsidRDefault="000A4442" w:rsidP="000A4442"/>
    <w:p w:rsidR="000A4442" w:rsidRDefault="000A4442" w:rsidP="000A444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02</w:t>
      </w:r>
      <w:proofErr w:type="gramEnd"/>
    </w:p>
    <w:p w:rsidR="000A4442" w:rsidRDefault="000A4442" w:rsidP="000A4442">
      <w:pPr>
        <w:spacing w:line="240" w:lineRule="atLeast"/>
        <w:jc w:val="both"/>
        <w:rPr>
          <w:sz w:val="24"/>
          <w:szCs w:val="24"/>
        </w:rPr>
      </w:pPr>
    </w:p>
    <w:p w:rsidR="000A4442" w:rsidRDefault="000A4442" w:rsidP="000A4442">
      <w:pPr>
        <w:spacing w:line="240" w:lineRule="atLeast"/>
        <w:ind w:firstLine="708"/>
        <w:jc w:val="both"/>
        <w:rPr>
          <w:sz w:val="24"/>
          <w:szCs w:val="24"/>
        </w:rPr>
      </w:pPr>
      <w:r w:rsidRPr="00A961AE">
        <w:rPr>
          <w:sz w:val="24"/>
          <w:szCs w:val="24"/>
        </w:rPr>
        <w:t xml:space="preserve">Öğrenci İşleri Daire Başkanlığının </w:t>
      </w:r>
      <w:proofErr w:type="gramStart"/>
      <w:r w:rsidRPr="00A961AE">
        <w:rPr>
          <w:sz w:val="24"/>
          <w:szCs w:val="24"/>
        </w:rPr>
        <w:t>17/04/2017</w:t>
      </w:r>
      <w:proofErr w:type="gramEnd"/>
      <w:r w:rsidRPr="00A961AE">
        <w:rPr>
          <w:sz w:val="24"/>
          <w:szCs w:val="24"/>
        </w:rPr>
        <w:t xml:space="preserve"> tarih ve E.57476 sayılı yazısına istinaden; Fakültemiz Radyo Televizyon ve Sinema Bölümü, İletişim Bilimleri Bölümü ile Gazetecilik Bölümü, 2018-2019 eğitim-öğretim yılı Güz Yarıyılı Yatay Geçiş Kontenjanlarının belirlenmesi hakkında</w:t>
      </w:r>
      <w:r>
        <w:rPr>
          <w:sz w:val="24"/>
          <w:szCs w:val="24"/>
        </w:rPr>
        <w:t xml:space="preserve"> görüşüldü.</w:t>
      </w:r>
    </w:p>
    <w:p w:rsidR="000A4442" w:rsidRPr="00A961AE" w:rsidRDefault="000A4442" w:rsidP="000A4442">
      <w:pPr>
        <w:spacing w:line="240" w:lineRule="atLeast"/>
        <w:ind w:firstLine="708"/>
        <w:jc w:val="both"/>
        <w:rPr>
          <w:sz w:val="24"/>
          <w:szCs w:val="24"/>
        </w:rPr>
      </w:pPr>
    </w:p>
    <w:p w:rsidR="000A4442" w:rsidRDefault="000A4442" w:rsidP="000A4442">
      <w:pPr>
        <w:spacing w:line="240" w:lineRule="atLeast"/>
        <w:ind w:firstLine="708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Fakültemiz </w:t>
      </w:r>
      <w:r w:rsidRPr="00A961AE">
        <w:rPr>
          <w:sz w:val="24"/>
          <w:szCs w:val="24"/>
        </w:rPr>
        <w:t>Radyo Televizyon ve Sinema Bölümü, İletişim Bilimleri Bölümü ile Gazetecilik Bölümü</w:t>
      </w:r>
      <w:r>
        <w:rPr>
          <w:sz w:val="24"/>
          <w:szCs w:val="24"/>
        </w:rPr>
        <w:t xml:space="preserve"> 2018-2019 eğitim öğretim yılı Güz Yarıyılı kontenjan taleplerinin, “</w:t>
      </w:r>
      <w:r w:rsidRPr="004038F0">
        <w:rPr>
          <w:b/>
          <w:i/>
          <w:sz w:val="24"/>
          <w:szCs w:val="24"/>
        </w:rPr>
        <w:t xml:space="preserve">Yükseköğretim Kurumlarında </w:t>
      </w:r>
      <w:proofErr w:type="spellStart"/>
      <w:r w:rsidRPr="004038F0">
        <w:rPr>
          <w:b/>
          <w:i/>
          <w:sz w:val="24"/>
          <w:szCs w:val="24"/>
        </w:rPr>
        <w:t>Önlisans</w:t>
      </w:r>
      <w:proofErr w:type="spellEnd"/>
      <w:r w:rsidRPr="004038F0">
        <w:rPr>
          <w:b/>
          <w:i/>
          <w:sz w:val="24"/>
          <w:szCs w:val="24"/>
        </w:rPr>
        <w:t xml:space="preserve"> ve Lisans Düzeyindeki Programlar Arasında Geçiş, Çift </w:t>
      </w:r>
      <w:proofErr w:type="spellStart"/>
      <w:r w:rsidRPr="004038F0">
        <w:rPr>
          <w:b/>
          <w:i/>
          <w:sz w:val="24"/>
          <w:szCs w:val="24"/>
        </w:rPr>
        <w:t>Anadal</w:t>
      </w:r>
      <w:proofErr w:type="spellEnd"/>
      <w:r w:rsidRPr="004038F0">
        <w:rPr>
          <w:b/>
          <w:i/>
          <w:sz w:val="24"/>
          <w:szCs w:val="24"/>
        </w:rPr>
        <w:t>, Yan Dal İle Kurumlar Arası Kredi Transferi Yapılmasına İlişkin Yönetmeliğin 11.maddesinin 7.</w:t>
      </w:r>
      <w:proofErr w:type="spellStart"/>
      <w:r w:rsidRPr="004038F0">
        <w:rPr>
          <w:b/>
          <w:i/>
          <w:sz w:val="24"/>
          <w:szCs w:val="24"/>
        </w:rPr>
        <w:t>fırkası</w:t>
      </w:r>
      <w:r>
        <w:rPr>
          <w:i/>
          <w:sz w:val="24"/>
          <w:szCs w:val="24"/>
        </w:rPr>
        <w:t>”</w:t>
      </w:r>
      <w:r w:rsidRPr="002A5BD4"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r w:rsidRPr="004038F0">
        <w:rPr>
          <w:b/>
          <w:sz w:val="24"/>
          <w:szCs w:val="24"/>
        </w:rPr>
        <w:t>“</w:t>
      </w:r>
      <w:proofErr w:type="gramStart"/>
      <w:r w:rsidRPr="004038F0">
        <w:rPr>
          <w:b/>
          <w:sz w:val="24"/>
          <w:szCs w:val="24"/>
        </w:rPr>
        <w:t>….</w:t>
      </w:r>
      <w:proofErr w:type="gramEnd"/>
      <w:r w:rsidRPr="004038F0">
        <w:rPr>
          <w:b/>
          <w:sz w:val="24"/>
          <w:szCs w:val="24"/>
        </w:rPr>
        <w:t xml:space="preserve"> </w:t>
      </w:r>
      <w:proofErr w:type="gramStart"/>
      <w:r w:rsidRPr="004038F0">
        <w:rPr>
          <w:b/>
          <w:sz w:val="24"/>
          <w:szCs w:val="24"/>
        </w:rPr>
        <w:t xml:space="preserve">ÖSYM giriş genel kontenjanı 50 ve 50’den az olan diploma programlarda iki, 51 ve 100 arası olan programlarda üç, 101 ve üzerinde olan diploma programlarda ise dört </w:t>
      </w:r>
      <w:proofErr w:type="spellStart"/>
      <w:r w:rsidRPr="004038F0">
        <w:rPr>
          <w:b/>
          <w:sz w:val="24"/>
          <w:szCs w:val="24"/>
        </w:rPr>
        <w:t>kurumlararası</w:t>
      </w:r>
      <w:proofErr w:type="spellEnd"/>
      <w:r w:rsidRPr="004038F0">
        <w:rPr>
          <w:b/>
          <w:sz w:val="24"/>
          <w:szCs w:val="24"/>
        </w:rPr>
        <w:t xml:space="preserve"> yatay geçiş kontenjanı Yükseköğretim Kurulu tarafından belirlenir</w:t>
      </w:r>
      <w:r>
        <w:rPr>
          <w:sz w:val="24"/>
          <w:szCs w:val="24"/>
        </w:rPr>
        <w:t>” hükmü uyarınca, güz yarıyılı yatay geçiş kontenjanlarının aşağıdaki şekliyle kabulüne, gereği için Öğrenci İşleri Daire Başkanlığına arzına toplantıya katılanların oy birliği ile karar verildi.</w:t>
      </w:r>
      <w:proofErr w:type="gramEnd"/>
    </w:p>
    <w:p w:rsidR="000A4442" w:rsidRDefault="000A4442" w:rsidP="000A4442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oKlavuzu"/>
        <w:tblW w:w="0" w:type="auto"/>
        <w:tblLook w:val="04A0"/>
      </w:tblPr>
      <w:tblGrid>
        <w:gridCol w:w="3794"/>
        <w:gridCol w:w="2551"/>
      </w:tblGrid>
      <w:tr w:rsidR="000A4442" w:rsidTr="00805E89">
        <w:tc>
          <w:tcPr>
            <w:tcW w:w="3794" w:type="dxa"/>
          </w:tcPr>
          <w:p w:rsidR="000A4442" w:rsidRDefault="000A4442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 Adı</w:t>
            </w:r>
          </w:p>
        </w:tc>
        <w:tc>
          <w:tcPr>
            <w:tcW w:w="2551" w:type="dxa"/>
          </w:tcPr>
          <w:p w:rsidR="000A4442" w:rsidRDefault="000A4442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Kontenjan Sayısı</w:t>
            </w:r>
          </w:p>
        </w:tc>
      </w:tr>
      <w:tr w:rsidR="000A4442" w:rsidTr="00805E89">
        <w:trPr>
          <w:trHeight w:val="562"/>
        </w:trPr>
        <w:tc>
          <w:tcPr>
            <w:tcW w:w="3794" w:type="dxa"/>
          </w:tcPr>
          <w:p w:rsidR="000A4442" w:rsidRDefault="000A4442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İletişim Bilimleri</w:t>
            </w:r>
          </w:p>
        </w:tc>
        <w:tc>
          <w:tcPr>
            <w:tcW w:w="2551" w:type="dxa"/>
          </w:tcPr>
          <w:p w:rsidR="000A4442" w:rsidRDefault="000A4442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  (3.Yarıyıl)</w:t>
            </w:r>
          </w:p>
          <w:p w:rsidR="000A4442" w:rsidRDefault="000A4442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  (5.Yarıyıl)</w:t>
            </w:r>
          </w:p>
        </w:tc>
      </w:tr>
      <w:tr w:rsidR="000A4442" w:rsidTr="00805E89">
        <w:tc>
          <w:tcPr>
            <w:tcW w:w="3794" w:type="dxa"/>
          </w:tcPr>
          <w:p w:rsidR="000A4442" w:rsidRDefault="000A4442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Radyo Televizyon ve Sinema</w:t>
            </w:r>
          </w:p>
        </w:tc>
        <w:tc>
          <w:tcPr>
            <w:tcW w:w="2551" w:type="dxa"/>
          </w:tcPr>
          <w:p w:rsidR="000A4442" w:rsidRDefault="000A4442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</w:tr>
      <w:tr w:rsidR="000A4442" w:rsidTr="00805E89">
        <w:tc>
          <w:tcPr>
            <w:tcW w:w="3794" w:type="dxa"/>
          </w:tcPr>
          <w:p w:rsidR="000A4442" w:rsidRDefault="000A4442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Gazetecilik</w:t>
            </w:r>
          </w:p>
        </w:tc>
        <w:tc>
          <w:tcPr>
            <w:tcW w:w="2551" w:type="dxa"/>
          </w:tcPr>
          <w:p w:rsidR="000A4442" w:rsidRDefault="000A4442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</w:tr>
    </w:tbl>
    <w:p w:rsidR="000A4442" w:rsidRDefault="000A4442" w:rsidP="000A4442">
      <w:pPr>
        <w:spacing w:line="240" w:lineRule="atLeast"/>
        <w:jc w:val="both"/>
        <w:rPr>
          <w:sz w:val="24"/>
          <w:szCs w:val="24"/>
        </w:rPr>
      </w:pPr>
    </w:p>
    <w:p w:rsidR="000A4442" w:rsidRDefault="000A4442" w:rsidP="000A4442">
      <w:pPr>
        <w:spacing w:line="240" w:lineRule="atLeast"/>
        <w:jc w:val="both"/>
        <w:rPr>
          <w:sz w:val="24"/>
          <w:szCs w:val="24"/>
        </w:rPr>
      </w:pPr>
    </w:p>
    <w:p w:rsidR="000A4442" w:rsidRDefault="000A4442" w:rsidP="000A444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03</w:t>
      </w:r>
      <w:proofErr w:type="gramEnd"/>
    </w:p>
    <w:p w:rsidR="000A4442" w:rsidRDefault="000A4442" w:rsidP="000A4442">
      <w:pPr>
        <w:jc w:val="both"/>
        <w:rPr>
          <w:b/>
          <w:sz w:val="24"/>
          <w:szCs w:val="24"/>
        </w:rPr>
      </w:pPr>
    </w:p>
    <w:p w:rsidR="000A4442" w:rsidRDefault="000A4442" w:rsidP="000A4442">
      <w:pPr>
        <w:spacing w:line="240" w:lineRule="atLeast"/>
        <w:ind w:firstLine="708"/>
        <w:jc w:val="both"/>
        <w:rPr>
          <w:sz w:val="24"/>
          <w:szCs w:val="24"/>
        </w:rPr>
      </w:pPr>
      <w:r w:rsidRPr="0000710E">
        <w:rPr>
          <w:sz w:val="24"/>
          <w:szCs w:val="24"/>
        </w:rPr>
        <w:t xml:space="preserve">İletişim Bilimleri Bölüm Başkanlığının </w:t>
      </w:r>
      <w:proofErr w:type="gramStart"/>
      <w:r w:rsidRPr="0000710E">
        <w:rPr>
          <w:sz w:val="24"/>
          <w:szCs w:val="24"/>
        </w:rPr>
        <w:t>22/05/2018</w:t>
      </w:r>
      <w:proofErr w:type="gramEnd"/>
      <w:r w:rsidRPr="0000710E">
        <w:rPr>
          <w:sz w:val="24"/>
          <w:szCs w:val="24"/>
        </w:rPr>
        <w:t xml:space="preserve"> tarih ve 74553 sayılı yazısına istinaden; 2012131017 </w:t>
      </w:r>
      <w:proofErr w:type="spellStart"/>
      <w:r w:rsidRPr="0000710E">
        <w:rPr>
          <w:sz w:val="24"/>
          <w:szCs w:val="24"/>
        </w:rPr>
        <w:t>nolu</w:t>
      </w:r>
      <w:proofErr w:type="spellEnd"/>
      <w:r w:rsidRPr="0000710E">
        <w:rPr>
          <w:sz w:val="24"/>
          <w:szCs w:val="24"/>
        </w:rPr>
        <w:t xml:space="preserve"> öğrencisi </w:t>
      </w:r>
      <w:proofErr w:type="spellStart"/>
      <w:r w:rsidRPr="0000710E">
        <w:rPr>
          <w:sz w:val="24"/>
          <w:szCs w:val="24"/>
        </w:rPr>
        <w:t>Seyyidhan</w:t>
      </w:r>
      <w:proofErr w:type="spellEnd"/>
      <w:r w:rsidRPr="0000710E">
        <w:rPr>
          <w:sz w:val="24"/>
          <w:szCs w:val="24"/>
        </w:rPr>
        <w:t xml:space="preserve"> BULANIK ile ilgili Bölüm Kurulu Kararı hakkında </w:t>
      </w:r>
      <w:r>
        <w:rPr>
          <w:sz w:val="24"/>
          <w:szCs w:val="24"/>
        </w:rPr>
        <w:t>görüşüldü.</w:t>
      </w:r>
    </w:p>
    <w:p w:rsidR="000A4442" w:rsidRPr="00A961AE" w:rsidRDefault="000A4442" w:rsidP="000A4442">
      <w:pPr>
        <w:spacing w:line="240" w:lineRule="atLeast"/>
        <w:ind w:firstLine="708"/>
        <w:jc w:val="both"/>
        <w:rPr>
          <w:sz w:val="24"/>
          <w:szCs w:val="24"/>
        </w:rPr>
      </w:pPr>
    </w:p>
    <w:p w:rsidR="000A4442" w:rsidRDefault="000A4442" w:rsidP="000A4442">
      <w:pPr>
        <w:spacing w:line="240" w:lineRule="atLeast"/>
        <w:ind w:firstLine="708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>
        <w:rPr>
          <w:sz w:val="24"/>
          <w:szCs w:val="24"/>
        </w:rPr>
        <w:t>2012131017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Seyyidhan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BULANIK’ın</w:t>
      </w:r>
      <w:proofErr w:type="spellEnd"/>
      <w:r>
        <w:rPr>
          <w:sz w:val="24"/>
          <w:szCs w:val="24"/>
        </w:rPr>
        <w:t xml:space="preserve"> mezun olabilecek durumunda olması dikkate alınarak, 2.sınıf 4.yarıyıl ILT-210 Haber Toplama ve Yazma Teknikleri dersinin, pasif durumda olan ILT-204 Yeni Medya Çalışmaları dersinin yerine sayılması ile ilgili, 21/05/2018 tarih ve 25/1 sayılı Bölüm Kurulunun kabulüne, gereği için Öğrenci İşleri Daire Başkanlığına arzına toplantıya katılanların oy birliği ile karar verildi.</w:t>
      </w:r>
    </w:p>
    <w:p w:rsidR="000A4442" w:rsidRDefault="000A4442" w:rsidP="000A4442">
      <w:pPr>
        <w:spacing w:line="240" w:lineRule="atLeast"/>
        <w:jc w:val="both"/>
        <w:rPr>
          <w:b/>
          <w:sz w:val="24"/>
          <w:szCs w:val="24"/>
        </w:rPr>
      </w:pPr>
    </w:p>
    <w:p w:rsidR="000A4442" w:rsidRDefault="000A4442" w:rsidP="000A444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04</w:t>
      </w:r>
      <w:proofErr w:type="gramEnd"/>
    </w:p>
    <w:p w:rsidR="000A4442" w:rsidRDefault="000A4442" w:rsidP="000A4442">
      <w:pPr>
        <w:spacing w:line="240" w:lineRule="atLeast"/>
        <w:jc w:val="both"/>
        <w:rPr>
          <w:sz w:val="24"/>
          <w:szCs w:val="24"/>
        </w:rPr>
      </w:pPr>
    </w:p>
    <w:p w:rsidR="000A4442" w:rsidRDefault="000A4442" w:rsidP="000A4442">
      <w:pPr>
        <w:spacing w:line="240" w:lineRule="atLeast"/>
        <w:ind w:firstLine="708"/>
        <w:jc w:val="both"/>
        <w:rPr>
          <w:sz w:val="24"/>
          <w:szCs w:val="24"/>
        </w:rPr>
      </w:pPr>
      <w:r w:rsidRPr="003243F8">
        <w:rPr>
          <w:sz w:val="24"/>
          <w:szCs w:val="24"/>
        </w:rPr>
        <w:t xml:space="preserve">Radyo Televizyon ve Sinema Bölüm Başkanlığının </w:t>
      </w:r>
      <w:proofErr w:type="gramStart"/>
      <w:r w:rsidRPr="003243F8">
        <w:rPr>
          <w:sz w:val="24"/>
          <w:szCs w:val="24"/>
        </w:rPr>
        <w:t>18/05/2018</w:t>
      </w:r>
      <w:proofErr w:type="gramEnd"/>
      <w:r w:rsidRPr="003243F8">
        <w:rPr>
          <w:sz w:val="24"/>
          <w:szCs w:val="24"/>
        </w:rPr>
        <w:t xml:space="preserve"> tarih ve E.72658 sayılı yazısına istinaden; 2016139600 </w:t>
      </w:r>
      <w:proofErr w:type="spellStart"/>
      <w:r w:rsidRPr="003243F8">
        <w:rPr>
          <w:sz w:val="24"/>
          <w:szCs w:val="24"/>
        </w:rPr>
        <w:t>nolu</w:t>
      </w:r>
      <w:proofErr w:type="spellEnd"/>
      <w:r w:rsidRPr="003243F8">
        <w:rPr>
          <w:sz w:val="24"/>
          <w:szCs w:val="24"/>
        </w:rPr>
        <w:t xml:space="preserve"> öğrencisi Mert EŞBERK ile ilgili Bölüm Kurulu Kararı hakkında</w:t>
      </w:r>
      <w:r>
        <w:t xml:space="preserve"> </w:t>
      </w:r>
      <w:r w:rsidRPr="0000710E">
        <w:rPr>
          <w:sz w:val="24"/>
          <w:szCs w:val="24"/>
        </w:rPr>
        <w:t>görüşüldü.</w:t>
      </w:r>
    </w:p>
    <w:p w:rsidR="000A4442" w:rsidRPr="0000710E" w:rsidRDefault="000A4442" w:rsidP="000A4442">
      <w:pPr>
        <w:spacing w:line="240" w:lineRule="atLeast"/>
        <w:ind w:firstLine="708"/>
        <w:jc w:val="both"/>
        <w:rPr>
          <w:sz w:val="24"/>
          <w:szCs w:val="24"/>
        </w:rPr>
      </w:pPr>
    </w:p>
    <w:p w:rsidR="000A4442" w:rsidRDefault="000A4442" w:rsidP="000A4442">
      <w:pPr>
        <w:spacing w:line="240" w:lineRule="atLeast"/>
        <w:ind w:firstLine="708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>
        <w:rPr>
          <w:sz w:val="24"/>
          <w:szCs w:val="24"/>
        </w:rPr>
        <w:t>2012131017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Seyyidhan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BULANIK’ın</w:t>
      </w:r>
      <w:proofErr w:type="spellEnd"/>
      <w:r>
        <w:rPr>
          <w:sz w:val="24"/>
          <w:szCs w:val="24"/>
        </w:rPr>
        <w:t xml:space="preserve"> mezun olabilecek durumunda olması dikkate alınarak, 2.sınıf 4.yarıyıl ILT-210 Haber Toplama ve Yazma Teknikleri dersinin, pasif durumda olan ILT-204 Yeni Medya Çalışmaları dersinin yerine sayılması ile ilgili, 21/05/2018 tarih ve 25/1 sayılı Bölüm Kurulunun yeniden görüşülmesi için Bölüm Başkanlığına iadesine, toplantıya katılanların oy birliği ile karar verildi.</w:t>
      </w:r>
    </w:p>
    <w:p w:rsidR="000A4442" w:rsidRDefault="000A4442" w:rsidP="000A4442">
      <w:pPr>
        <w:jc w:val="both"/>
        <w:rPr>
          <w:b/>
          <w:sz w:val="24"/>
          <w:szCs w:val="24"/>
        </w:rPr>
      </w:pPr>
    </w:p>
    <w:p w:rsidR="000A4442" w:rsidRDefault="000A4442" w:rsidP="000A444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05</w:t>
      </w:r>
      <w:proofErr w:type="gramEnd"/>
    </w:p>
    <w:p w:rsidR="000A4442" w:rsidRDefault="000A4442" w:rsidP="000A4442">
      <w:pPr>
        <w:spacing w:line="240" w:lineRule="atLeast"/>
        <w:jc w:val="both"/>
        <w:rPr>
          <w:sz w:val="24"/>
          <w:szCs w:val="24"/>
        </w:rPr>
      </w:pPr>
    </w:p>
    <w:p w:rsidR="000A4442" w:rsidRDefault="000A4442" w:rsidP="000A4442">
      <w:pPr>
        <w:spacing w:line="240" w:lineRule="atLeast"/>
        <w:ind w:firstLine="708"/>
        <w:jc w:val="both"/>
        <w:rPr>
          <w:sz w:val="24"/>
          <w:szCs w:val="24"/>
        </w:rPr>
      </w:pPr>
      <w:r w:rsidRPr="008E0ACD">
        <w:rPr>
          <w:sz w:val="24"/>
          <w:szCs w:val="24"/>
        </w:rPr>
        <w:t xml:space="preserve">İletişim Bilimleri Bölüm başkanlığının </w:t>
      </w:r>
      <w:proofErr w:type="gramStart"/>
      <w:r w:rsidRPr="008E0ACD">
        <w:rPr>
          <w:sz w:val="24"/>
          <w:szCs w:val="24"/>
        </w:rPr>
        <w:t>22/05/2018</w:t>
      </w:r>
      <w:proofErr w:type="gramEnd"/>
      <w:r w:rsidRPr="008E0ACD">
        <w:rPr>
          <w:sz w:val="24"/>
          <w:szCs w:val="24"/>
        </w:rPr>
        <w:t xml:space="preserve"> tarih ve 74552 sayılı yazısına istinaden; 2017131011 </w:t>
      </w:r>
      <w:proofErr w:type="spellStart"/>
      <w:r w:rsidRPr="008E0ACD">
        <w:rPr>
          <w:sz w:val="24"/>
          <w:szCs w:val="24"/>
        </w:rPr>
        <w:t>nolu</w:t>
      </w:r>
      <w:proofErr w:type="spellEnd"/>
      <w:r w:rsidRPr="008E0ACD">
        <w:rPr>
          <w:sz w:val="24"/>
          <w:szCs w:val="24"/>
        </w:rPr>
        <w:t xml:space="preserve"> öğrencisi Uğur Can BÜYÜKNİSAN ile ilgili Bölüm Kurulu Kararı hakkında</w:t>
      </w:r>
      <w:r>
        <w:t xml:space="preserve"> </w:t>
      </w:r>
      <w:r w:rsidRPr="0000710E">
        <w:rPr>
          <w:sz w:val="24"/>
          <w:szCs w:val="24"/>
        </w:rPr>
        <w:t>görüşüldü.</w:t>
      </w:r>
    </w:p>
    <w:p w:rsidR="000A4442" w:rsidRPr="0000710E" w:rsidRDefault="000A4442" w:rsidP="000A4442">
      <w:pPr>
        <w:spacing w:line="240" w:lineRule="atLeast"/>
        <w:ind w:firstLine="708"/>
        <w:jc w:val="both"/>
        <w:rPr>
          <w:sz w:val="24"/>
          <w:szCs w:val="24"/>
        </w:rPr>
      </w:pPr>
    </w:p>
    <w:p w:rsidR="000A4442" w:rsidRDefault="000A4442" w:rsidP="000A4442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>
        <w:rPr>
          <w:sz w:val="24"/>
          <w:szCs w:val="24"/>
        </w:rPr>
        <w:t>2017131011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Uğur Can </w:t>
      </w:r>
      <w:proofErr w:type="spellStart"/>
      <w:r>
        <w:rPr>
          <w:sz w:val="24"/>
          <w:szCs w:val="24"/>
        </w:rPr>
        <w:t>BÜYÜKNİSAN’ın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Farabi</w:t>
      </w:r>
      <w:proofErr w:type="spellEnd"/>
      <w:r>
        <w:rPr>
          <w:sz w:val="24"/>
          <w:szCs w:val="24"/>
        </w:rPr>
        <w:t xml:space="preserve"> Öğrenci Değişim Programı kapsamında 2018-2019 eğitim-öğretim yılı için İstanbul Üniversitesi İletişim Fakültesi Gazetecilik Bölümü ders programında alacağı derslerle, Fakültemiz İletişim Bilimleri Bölümü ders programındaki derslerin denkliğinin uygun görüldüğü ile ilgili, 21/05/2018 tarih ve 25/3 sayılı Bölüm Kurulunun kabulüne, gereği için Öğrenci İşleri Daire Başkanlığı ile Dış İlişkiler Birimi </w:t>
      </w:r>
      <w:proofErr w:type="spellStart"/>
      <w:r>
        <w:rPr>
          <w:sz w:val="24"/>
          <w:szCs w:val="24"/>
        </w:rPr>
        <w:t>Farabi</w:t>
      </w:r>
      <w:proofErr w:type="spellEnd"/>
      <w:r>
        <w:rPr>
          <w:sz w:val="24"/>
          <w:szCs w:val="24"/>
        </w:rPr>
        <w:t xml:space="preserve"> Koordinatörlüğüne bildirilmesine toplantıya katılanların oy birliği ile karar verildi.</w:t>
      </w:r>
    </w:p>
    <w:p w:rsidR="000A4442" w:rsidRDefault="000A4442" w:rsidP="000A4442">
      <w:pPr>
        <w:spacing w:line="240" w:lineRule="atLeast"/>
        <w:jc w:val="both"/>
        <w:rPr>
          <w:sz w:val="24"/>
          <w:szCs w:val="24"/>
        </w:rPr>
      </w:pPr>
    </w:p>
    <w:p w:rsidR="000A4442" w:rsidRDefault="000A4442" w:rsidP="000A4442">
      <w:pPr>
        <w:spacing w:line="240" w:lineRule="atLeast"/>
        <w:jc w:val="both"/>
        <w:rPr>
          <w:sz w:val="24"/>
          <w:szCs w:val="24"/>
        </w:rPr>
      </w:pPr>
    </w:p>
    <w:p w:rsidR="000A4442" w:rsidRDefault="000A4442" w:rsidP="000A4442">
      <w:pPr>
        <w:spacing w:line="240" w:lineRule="atLeast"/>
        <w:jc w:val="both"/>
        <w:rPr>
          <w:sz w:val="24"/>
          <w:szCs w:val="24"/>
        </w:rPr>
      </w:pPr>
    </w:p>
    <w:p w:rsidR="000A4442" w:rsidRDefault="000A4442"/>
    <w:sectPr w:rsidR="000A4442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442"/>
    <w:rsid w:val="000632FF"/>
    <w:rsid w:val="000A4442"/>
    <w:rsid w:val="000B3EB1"/>
    <w:rsid w:val="000D0A62"/>
    <w:rsid w:val="00270293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4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A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2018-11-23T08:36:00Z</dcterms:created>
  <dcterms:modified xsi:type="dcterms:W3CDTF">2018-11-23T08:38:00Z</dcterms:modified>
</cp:coreProperties>
</file>